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7B5FC" w:rsidR="005D2CF4" w:rsidRDefault="005D2CF4" w:rsidP="009C3E04">
      <w:pPr>
        <w:spacing w:after="60" w:line="240" w:lineRule="auto"/>
        <w:ind w:left="720" w:firstLine="720"/>
        <w:rPr>
          <w:rFonts w:ascii="Arial" w:eastAsia="Times New Roman" w:hAnsi="Arial" w:cs="Times New Roman"/>
          <w:sz w:val="28"/>
          <w:szCs w:val="28"/>
          <w:lang w:val="en-GB"/>
        </w:rPr>
      </w:pPr>
      <w:bookmarkStart w:id="0" w:name="Annex1"/>
      <w:bookmarkStart w:id="1" w:name="_GoBack"/>
      <w:bookmarkEnd w:id="1"/>
      <w:r>
        <w:rPr>
          <w:rFonts w:ascii="Times New Roman" w:hAnsi="Times New Roman" w:cs="Times New Roman"/>
          <w:b/>
          <w:noProof/>
          <w:sz w:val="18"/>
          <w:szCs w:val="20"/>
        </w:rPr>
        <w:drawing>
          <wp:anchor distT="0" distB="0" distL="114300" distR="114300" simplePos="0" relativeHeight="251675648" behindDoc="1" locked="0" layoutInCell="1" allowOverlap="1" wp14:anchorId="20B8FC6C" wp14:editId="73B88D6E">
            <wp:simplePos x="0" y="0"/>
            <wp:positionH relativeFrom="column">
              <wp:posOffset>5265420</wp:posOffset>
            </wp:positionH>
            <wp:positionV relativeFrom="paragraph">
              <wp:posOffset>160020</wp:posOffset>
            </wp:positionV>
            <wp:extent cx="690880" cy="674370"/>
            <wp:effectExtent l="0" t="0" r="0" b="0"/>
            <wp:wrapTight wrapText="bothSides">
              <wp:wrapPolygon edited="0">
                <wp:start x="0" y="0"/>
                <wp:lineTo x="0" y="20746"/>
                <wp:lineTo x="20846" y="20746"/>
                <wp:lineTo x="208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0880" cy="674370"/>
                    </a:xfrm>
                    <a:prstGeom prst="rect">
                      <a:avLst/>
                    </a:prstGeom>
                  </pic:spPr>
                </pic:pic>
              </a:graphicData>
            </a:graphic>
          </wp:anchor>
        </w:drawing>
      </w:r>
      <w:r w:rsidRPr="005D2CF4">
        <w:rPr>
          <w:rFonts w:ascii="Arial" w:hAnsi="Arial" w:eastAsia="Times New Roman" w:cs="Arial"/>
          <w:b/>
          <w:noProof/>
        </w:rPr>
        <w:drawing>
          <wp:anchor distT="0" distB="0" distL="114300" distR="114300" simplePos="0" relativeHeight="251673600" behindDoc="1" locked="0" layoutInCell="1" allowOverlap="1" wp14:anchorId="0A1698C5" wp14:editId="1FEF6EF2">
            <wp:simplePos x="0" y="0"/>
            <wp:positionH relativeFrom="column">
              <wp:posOffset>62230</wp:posOffset>
            </wp:positionH>
            <wp:positionV relativeFrom="paragraph">
              <wp:posOffset>-17145</wp:posOffset>
            </wp:positionV>
            <wp:extent cx="544830" cy="957580"/>
            <wp:effectExtent l="19050" t="0" r="7620" b="0"/>
            <wp:wrapNone/>
            <wp:docPr id="1" name="Picture 1"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9"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Pr="005D2CF4">
        <w:rPr>
          <w:rFonts w:ascii="Arial" w:hAnsi="Arial" w:eastAsia="Times New Roman" w:cs="Times New Roman"/>
          <w:sz w:val="15"/>
          <w:szCs w:val="15"/>
          <w:lang w:val="en-GB"/>
        </w:rPr>
        <w:tab/>
      </w:r>
      <w:r w:rsidRPr="005D2CF4">
        <w:rPr>
          <w:rFonts w:ascii="Arial" w:hAnsi="Arial" w:eastAsia="Times New Roman" w:cs="Times New Roman"/>
          <w:sz w:val="15"/>
          <w:szCs w:val="15"/>
          <w:lang w:val="en-GB"/>
        </w:rPr>
        <w:tab/>
      </w:r>
      <w:r w:rsidRPr="005D2CF4">
        <w:rPr>
          <w:rFonts w:ascii="Arial" w:hAnsi="Arial" w:eastAsia="Times New Roman" w:cs="Times New Roman"/>
          <w:sz w:val="28"/>
          <w:szCs w:val="28"/>
          <w:lang w:val="en-GB"/>
        </w:rPr>
        <w:tab/>
      </w:r>
      <w:r w:rsidRPr="005D2CF4">
        <w:rPr>
          <w:rFonts w:ascii="Arial" w:hAnsi="Arial" w:eastAsia="Times New Roman" w:cs="Times New Roman"/>
          <w:noProof/>
          <w:sz w:val="15"/>
          <w:szCs w:val="15"/>
        </w:rPr>
        <w:drawing>
          <wp:inline distT="0" distB="0" distL="0" distR="0" wp14:anchorId="3F80084A" wp14:editId="2DCAD893">
            <wp:extent cx="966470" cy="931545"/>
            <wp:effectExtent l="19050" t="0" r="5080" b="0"/>
            <wp:docPr id="8" name="Picture 8"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srcRect/>
                    <a:stretch>
                      <a:fillRect/>
                    </a:stretch>
                  </pic:blipFill>
                  <pic:spPr bwMode="auto">
                    <a:xfrm>
                      <a:off x="0" y="0"/>
                      <a:ext cx="966470" cy="931545"/>
                    </a:xfrm>
                    <a:prstGeom prst="rect">
                      <a:avLst/>
                    </a:prstGeom>
                    <a:noFill/>
                    <a:ln w="9525">
                      <a:noFill/>
                      <a:miter lim="800000"/>
                      <a:headEnd/>
                      <a:tailEnd/>
                    </a:ln>
                  </pic:spPr>
                </pic:pic>
              </a:graphicData>
            </a:graphic>
          </wp:inline>
        </w:drawing>
      </w:r>
    </w:p>
    <w:p w14:paraId="267C8B24" w:rsidR="005D2CF4" w:rsidRPr="005D2CF4" w:rsidRDefault="005D2CF4" w:rsidP="009C3E04">
      <w:pPr>
        <w:spacing w:after="60" w:line="240" w:lineRule="auto"/>
        <w:ind w:left="720" w:firstLine="720"/>
        <w:rPr>
          <w:rFonts w:ascii="Arial" w:eastAsia="Times New Roman" w:hAnsi="Arial" w:cs="Arial"/>
          <w:b/>
          <w:lang w:val="en-GB"/>
        </w:rPr>
      </w:pPr>
      <w:r w:rsidRPr="005D2CF4">
        <w:rPr>
          <w:rFonts w:ascii="Arial" w:hAnsi="Arial" w:eastAsia="Times New Roman" w:cs="Times New Roman"/>
          <w:sz w:val="15"/>
          <w:szCs w:val="15"/>
          <w:lang w:val="en-GB"/>
        </w:rPr>
        <w:tab/>
      </w:r>
      <w:r w:rsidRPr="005D2CF4">
        <w:rPr>
          <w:rFonts w:ascii="Arial" w:hAnsi="Arial" w:eastAsia="Times New Roman" w:cs="Times New Roman"/>
          <w:sz w:val="15"/>
          <w:szCs w:val="15"/>
          <w:lang w:val="en-GB"/>
        </w:rPr>
        <w:tab/>
      </w:r>
      <w:r w:rsidRPr="005D2CF4">
        <w:rPr>
          <w:rFonts w:ascii="Arial" w:hAnsi="Arial" w:eastAsia="Times New Roman" w:cs="Times New Roman"/>
          <w:sz w:val="15"/>
          <w:szCs w:val="15"/>
          <w:lang w:val="en-GB"/>
        </w:rPr>
        <w:tab/>
      </w:r>
    </w:p>
    <w:bookmarkEnd w:id="0"/>
    <w:p w14:paraId="559A6ABB" w:rsidR="005D2CF4" w:rsidRPr="005D2CF4" w:rsidRDefault="005D2CF4" w:rsidP="00815D0B">
      <w:pPr>
        <w:spacing w:after="60" w:line="240" w:lineRule="auto"/>
        <w:jc w:val="center"/>
        <w:rPr>
          <w:rFonts w:ascii="Arial" w:eastAsia="Times New Roman" w:hAnsi="Arial" w:cs="Arial"/>
          <w:b/>
          <w:lang w:val="en-GB"/>
        </w:rPr>
      </w:pPr>
      <w:r w:rsidRPr="005D2CF4">
        <w:rPr>
          <w:rFonts w:ascii="Arial" w:hAnsi="Arial" w:eastAsia="Times New Roman" w:cs="Arial"/>
          <w:b/>
          <w:lang w:val="en-GB"/>
        </w:rPr>
        <w:t>United Nations Development Programme</w:t>
      </w:r>
    </w:p>
    <w:p w14:paraId="4E435FD3" w:rsidR="005D2CF4" w:rsidRPr="005D2CF4" w:rsidRDefault="00815D0B" w:rsidP="00815D0B">
      <w:pPr>
        <w:spacing w:after="60" w:line="240" w:lineRule="auto"/>
        <w:jc w:val="center"/>
        <w:rPr>
          <w:rFonts w:ascii="Arial" w:eastAsia="Times New Roman" w:hAnsi="Arial" w:cs="Arial"/>
          <w:b/>
          <w:sz w:val="20"/>
          <w:szCs w:val="20"/>
          <w:lang w:val="en-GB"/>
        </w:rPr>
      </w:pPr>
      <w:r>
        <w:rPr>
          <w:rFonts w:ascii="Arial" w:hAnsi="Arial" w:eastAsia="Times New Roman" w:cs="Arial"/>
          <w:b/>
          <w:sz w:val="20"/>
          <w:szCs w:val="20"/>
          <w:lang w:val="en-GB"/>
        </w:rPr>
        <w:t xml:space="preserve">Country: </w:t>
      </w:r>
      <w:r w:rsidR="005D2CF4" w:rsidRPr="005D2CF4">
        <w:rPr>
          <w:rFonts w:ascii="Arial" w:hAnsi="Arial" w:eastAsia="Times New Roman" w:cs="Arial"/>
          <w:b/>
          <w:sz w:val="20"/>
          <w:szCs w:val="20"/>
          <w:u w:val="single"/>
          <w:lang w:val="en-GB"/>
        </w:rPr>
        <w:t>GRENADA</w:t>
      </w:r>
    </w:p>
    <w:p w14:paraId="56E0A0BC" w:rsidR="005D2CF4" w:rsidRPr="005D2CF4" w:rsidRDefault="005D2CF4" w:rsidP="00815D0B">
      <w:pPr>
        <w:spacing w:after="60" w:line="240" w:lineRule="auto"/>
        <w:jc w:val="center"/>
        <w:rPr>
          <w:rFonts w:ascii="Arial" w:eastAsia="Times New Roman" w:hAnsi="Arial" w:cs="Arial"/>
          <w:b/>
          <w:sz w:val="20"/>
          <w:szCs w:val="20"/>
          <w:lang w:val="en-GB"/>
        </w:rPr>
      </w:pPr>
      <w:r w:rsidRPr="005D2CF4">
        <w:rPr>
          <w:rFonts w:ascii="Arial" w:hAnsi="Arial" w:eastAsia="Times New Roman" w:cs="Arial"/>
          <w:b/>
          <w:sz w:val="20"/>
          <w:szCs w:val="20"/>
          <w:lang w:val="en-GB"/>
        </w:rPr>
        <w:t>PROJECT DOCUMENT</w:t>
      </w:r>
    </w:p>
    <w:tbl>
      <w:tblPr>
        <w:tblW w:w="9540" w:type="dxa"/>
        <w:tblInd w:w="108" w:type="dxa"/>
        <w:tblLayout w:type="fixed"/>
        <w:tblLook w:val="01E0" w:firstRow="1" w:lastRow="1" w:firstColumn="1" w:lastColumn="1" w:noHBand="0" w:noVBand="0"/>
      </w:tblPr>
      <w:tblGrid>
        <w:gridCol w:w="4140"/>
        <w:gridCol w:w="4950"/>
        <w:gridCol w:w="180"/>
        <w:gridCol w:w="270"/>
      </w:tblGrid>
      <w:tr w14:paraId="4E9577D2" w:rsidR="005D2CF4" w:rsidRPr="005D2CF4" w:rsidTr="005D2CF4">
        <w:trPr>
          <w:trHeight w:val="359"/>
        </w:trPr>
        <w:tc>
          <w:tcPr>
            <w:tcW w:w="4140" w:type="dxa"/>
            <w:vAlign w:val="center"/>
          </w:tcPr>
          <w:p w14:paraId="48664925" w:rsidR="005D2CF4" w:rsidRPr="005D2CF4" w:rsidRDefault="005D2CF4" w:rsidP="009C3E04">
            <w:pPr>
              <w:tabs>
                <w:tab w:val="left" w:pos="4680"/>
              </w:tabs>
              <w:spacing w:after="60" w:line="240" w:lineRule="auto"/>
              <w:rPr>
                <w:rFonts w:ascii="Arial" w:eastAsia="Times New Roman" w:hAnsi="Arial" w:cs="Arial"/>
                <w:b/>
                <w:bCs/>
                <w:sz w:val="20"/>
                <w:szCs w:val="20"/>
                <w:lang w:val="en-GB"/>
              </w:rPr>
            </w:pPr>
            <w:r w:rsidRPr="005D2CF4">
              <w:rPr>
                <w:rFonts w:ascii="Arial" w:hAnsi="Arial" w:eastAsia="Times New Roman" w:cs="Arial"/>
                <w:b/>
                <w:bCs/>
                <w:sz w:val="20"/>
                <w:szCs w:val="20"/>
                <w:lang w:val="en-GB"/>
              </w:rPr>
              <w:t>Project Title:</w:t>
            </w:r>
          </w:p>
        </w:tc>
        <w:tc>
          <w:tcPr>
            <w:tcW w:w="5400" w:type="dxa"/>
            <w:gridSpan w:val="3"/>
            <w:vAlign w:val="center"/>
          </w:tcPr>
          <w:p w14:paraId="70669524" w:rsidR="005D2CF4" w:rsidRPr="009C7844" w:rsidRDefault="005D2CF4" w:rsidP="004703D9">
            <w:pPr>
              <w:tabs>
                <w:tab w:val="left" w:pos="4680"/>
              </w:tabs>
              <w:spacing w:after="60" w:line="240" w:lineRule="auto"/>
              <w:rPr>
                <w:rFonts w:ascii="Times New Roman" w:eastAsia="Times New Roman" w:hAnsi="Times New Roman" w:cs="Times New Roman"/>
                <w:sz w:val="20"/>
                <w:szCs w:val="20"/>
                <w:shd w:val="clear" w:color="auto" w:fill="E0E0E0"/>
                <w:lang w:val="en-GB"/>
              </w:rPr>
            </w:pPr>
            <w:r w:rsidRPr="009C7844">
              <w:rPr>
                <w:rFonts w:ascii="Times New Roman" w:hAnsi="Times New Roman" w:eastAsia="Times New Roman" w:cs="Times New Roman"/>
                <w:sz w:val="20"/>
                <w:szCs w:val="20"/>
                <w:shd w:val="clear" w:color="auto" w:fill="E0E0E0"/>
                <w:lang w:val="en-GB"/>
              </w:rPr>
              <w:t xml:space="preserve">Implementing a “Ridge to Reef” Approach to </w:t>
            </w:r>
            <w:r w:rsidR="004703D9" w:rsidRPr="009C7844">
              <w:rPr>
                <w:rFonts w:ascii="Times New Roman" w:hAnsi="Times New Roman" w:eastAsia="Times New Roman" w:cs="Times New Roman"/>
                <w:sz w:val="20"/>
                <w:szCs w:val="20"/>
                <w:shd w:val="clear" w:color="auto" w:fill="E0E0E0"/>
                <w:lang w:val="en-GB"/>
              </w:rPr>
              <w:t>P</w:t>
            </w:r>
            <w:r w:rsidRPr="009C7844">
              <w:rPr>
                <w:rFonts w:ascii="Times New Roman" w:hAnsi="Times New Roman" w:eastAsia="Times New Roman" w:cs="Times New Roman"/>
                <w:sz w:val="20"/>
                <w:szCs w:val="20"/>
                <w:shd w:val="clear" w:color="auto" w:fill="E0E0E0"/>
                <w:lang w:val="en-GB"/>
              </w:rPr>
              <w:t>rotecting Biodiversity and Ecosystem functions within and around Protected Areas in Grenada</w:t>
            </w:r>
          </w:p>
        </w:tc>
      </w:tr>
      <w:tr w14:paraId="5DD3679D" w:rsidR="005D2CF4" w:rsidRPr="005D2CF4" w:rsidTr="005D2CF4">
        <w:trPr>
          <w:trHeight w:val="359"/>
        </w:trPr>
        <w:tc>
          <w:tcPr>
            <w:tcW w:w="4140" w:type="dxa"/>
            <w:vAlign w:val="center"/>
          </w:tcPr>
          <w:p w14:paraId="7B1767F7" w:rsidR="005D2CF4" w:rsidRPr="00815D0B" w:rsidRDefault="005D2CF4" w:rsidP="009C3E04">
            <w:pPr>
              <w:tabs>
                <w:tab w:val="left" w:pos="4680"/>
              </w:tabs>
              <w:spacing w:after="60" w:line="240" w:lineRule="auto"/>
              <w:rPr>
                <w:rFonts w:ascii="Arial" w:eastAsia="Times New Roman" w:hAnsi="Arial" w:cs="Arial"/>
                <w:sz w:val="20"/>
                <w:szCs w:val="20"/>
                <w:lang w:val="en-GB"/>
              </w:rPr>
            </w:pPr>
            <w:r w:rsidRPr="00815D0B">
              <w:rPr>
                <w:rFonts w:ascii="Arial" w:hAnsi="Arial" w:eastAsia="Times New Roman" w:cs="Arial"/>
                <w:b/>
                <w:bCs/>
                <w:sz w:val="20"/>
                <w:szCs w:val="20"/>
                <w:lang w:val="en-GB"/>
              </w:rPr>
              <w:t>UNDAF Outcome(s):</w:t>
            </w:r>
            <w:r w:rsidRPr="00815D0B">
              <w:rPr>
                <w:rFonts w:ascii="Arial" w:hAnsi="Arial" w:eastAsia="Times New Roman" w:cs="Arial"/>
                <w:sz w:val="20"/>
                <w:szCs w:val="20"/>
                <w:lang w:val="en-GB"/>
              </w:rPr>
              <w:tab/>
            </w:r>
            <w:r w:rsidRPr="00815D0B">
              <w:rPr>
                <w:rFonts w:ascii="Arial" w:hAnsi="Arial" w:eastAsia="Times New Roman" w:cs="Arial"/>
                <w:sz w:val="20"/>
                <w:szCs w:val="20"/>
                <w:lang w:val="en-GB"/>
              </w:rPr>
              <w:tab/>
            </w:r>
            <w:r w:rsidRPr="00815D0B">
              <w:rPr>
                <w:rFonts w:ascii="Arial" w:hAnsi="Arial" w:eastAsia="Times New Roman" w:cs="Arial"/>
                <w:sz w:val="20"/>
                <w:szCs w:val="20"/>
                <w:lang w:val="en-GB"/>
              </w:rPr>
              <w:tab/>
            </w:r>
          </w:p>
        </w:tc>
        <w:tc>
          <w:tcPr>
            <w:tcW w:w="5400" w:type="dxa"/>
            <w:gridSpan w:val="3"/>
            <w:vAlign w:val="center"/>
          </w:tcPr>
          <w:p w14:paraId="537570AA" w:rsidR="005D2CF4" w:rsidRPr="009C7844" w:rsidRDefault="00815D0B" w:rsidP="009C3E04">
            <w:pPr>
              <w:tabs>
                <w:tab w:val="left" w:pos="4680"/>
              </w:tabs>
              <w:spacing w:after="60" w:line="240" w:lineRule="auto"/>
              <w:rPr>
                <w:rFonts w:ascii="Times New Roman" w:eastAsia="Times New Roman" w:hAnsi="Times New Roman" w:cs="Times New Roman"/>
                <w:sz w:val="20"/>
                <w:szCs w:val="20"/>
                <w:highlight w:val="yellow"/>
                <w:shd w:val="clear" w:color="auto" w:fill="E0E0E0"/>
                <w:lang w:val="en-GB"/>
              </w:rPr>
            </w:pPr>
            <w:r w:rsidRPr="009C7844">
              <w:rPr>
                <w:rFonts w:ascii="Times New Roman" w:hAnsi="Times New Roman" w:eastAsia="Times New Roman" w:cs="Times New Roman"/>
                <w:sz w:val="20"/>
                <w:szCs w:val="20"/>
                <w:shd w:val="clear" w:color="auto" w:fill="E0E0E0"/>
                <w:lang w:val="en-GB"/>
              </w:rPr>
              <w:t>Outcome 1 - Improved governance and regulation of environmental and energy issues for more resilient economies by 2016</w:t>
            </w:r>
          </w:p>
        </w:tc>
      </w:tr>
      <w:tr w14:paraId="4831D615" w:rsidR="005D2CF4" w:rsidRPr="005D2CF4" w:rsidTr="005D2CF4">
        <w:tc>
          <w:tcPr>
            <w:tcW w:w="9540" w:type="dxa"/>
            <w:gridSpan w:val="4"/>
            <w:vAlign w:val="center"/>
          </w:tcPr>
          <w:p w14:paraId="47E2D7A2" w:rsidR="005D2CF4" w:rsidRPr="009C7844" w:rsidRDefault="005D2CF4" w:rsidP="009C3E04">
            <w:pPr>
              <w:tabs>
                <w:tab w:val="left" w:pos="4680"/>
              </w:tabs>
              <w:spacing w:after="60" w:line="240" w:lineRule="auto"/>
              <w:rPr>
                <w:rFonts w:ascii="Times New Roman" w:eastAsia="Times New Roman" w:hAnsi="Times New Roman" w:cs="Times New Roman"/>
                <w:sz w:val="20"/>
                <w:szCs w:val="20"/>
                <w:shd w:val="clear" w:color="auto" w:fill="E0E0E0"/>
                <w:lang w:val="en-GB"/>
              </w:rPr>
            </w:pPr>
            <w:r w:rsidRPr="00815D0B">
              <w:rPr>
                <w:rFonts w:ascii="Arial" w:hAnsi="Arial" w:eastAsia="Times New Roman" w:cs="Arial"/>
                <w:b/>
                <w:bCs/>
                <w:sz w:val="20"/>
                <w:szCs w:val="20"/>
                <w:lang w:val="en-GB"/>
              </w:rPr>
              <w:t xml:space="preserve">UNDP Strategic Plan Environment and Sustainable Development </w:t>
            </w:r>
            <w:r w:rsidRPr="00815D0B">
              <w:rPr>
                <w:rFonts w:ascii="Arial" w:hAnsi="Arial" w:eastAsia="Times New Roman" w:cs="Arial"/>
                <w:b/>
                <w:bCs/>
                <w:sz w:val="20"/>
                <w:szCs w:val="20"/>
                <w:u w:val="single"/>
                <w:lang w:val="en-GB"/>
              </w:rPr>
              <w:t>Primary</w:t>
            </w:r>
            <w:r w:rsidRPr="00815D0B">
              <w:rPr>
                <w:rFonts w:ascii="Arial" w:hAnsi="Arial" w:eastAsia="Times New Roman" w:cs="Arial"/>
                <w:b/>
                <w:bCs/>
                <w:sz w:val="20"/>
                <w:szCs w:val="20"/>
                <w:lang w:val="en-GB"/>
              </w:rPr>
              <w:t xml:space="preserve"> Outcome:</w:t>
            </w:r>
            <w:r w:rsidR="00815D0B" w:rsidRPr="00815D0B">
              <w:t xml:space="preserve"> </w:t>
            </w:r>
            <w:r w:rsidR="00815D0B" w:rsidRPr="009C7844">
              <w:rPr>
                <w:rFonts w:ascii="Times New Roman" w:hAnsi="Times New Roman" w:eastAsia="Times New Roman" w:cs="Times New Roman"/>
                <w:sz w:val="20"/>
                <w:szCs w:val="20"/>
                <w:shd w:val="clear" w:color="auto" w:fill="E0E0E0"/>
                <w:lang w:val="en-GB"/>
              </w:rPr>
              <w:t>2.3. Solutions at local level for sustainable management of natural resources, ecosystems and environmental services, for expanded jobs and livelihoods; and 3.5. Transparent and non-discriminatory legal and regulatory frameworks and policies enabled for sustainable management of natural resources, biodiversity and ecosystems (in line with international conventions and national legislation)</w:t>
            </w:r>
          </w:p>
          <w:p w14:paraId="200496F7" w:rsidR="005D2CF4" w:rsidRPr="00815D0B" w:rsidRDefault="005D2CF4" w:rsidP="009C3E04">
            <w:pPr>
              <w:tabs>
                <w:tab w:val="left" w:pos="4680"/>
              </w:tabs>
              <w:spacing w:after="60" w:line="240" w:lineRule="auto"/>
              <w:rPr>
                <w:rFonts w:ascii="Arial" w:eastAsia="Times New Roman" w:hAnsi="Arial" w:cs="Arial"/>
                <w:sz w:val="20"/>
                <w:szCs w:val="20"/>
                <w:shd w:val="clear" w:color="auto" w:fill="E0E0E0"/>
                <w:lang w:val="en-GB"/>
              </w:rPr>
            </w:pPr>
            <w:r w:rsidRPr="00815D0B">
              <w:rPr>
                <w:rFonts w:ascii="Arial" w:hAnsi="Arial" w:eastAsia="Times New Roman" w:cs="Arial"/>
                <w:b/>
                <w:bCs/>
                <w:sz w:val="20"/>
                <w:szCs w:val="20"/>
                <w:lang w:val="en-GB"/>
              </w:rPr>
              <w:t xml:space="preserve">UNDP Strategic Plan </w:t>
            </w:r>
            <w:r w:rsidRPr="00815D0B">
              <w:rPr>
                <w:rFonts w:ascii="Arial" w:hAnsi="Arial" w:eastAsia="Times New Roman" w:cs="Arial"/>
                <w:b/>
                <w:bCs/>
                <w:sz w:val="20"/>
                <w:szCs w:val="20"/>
                <w:u w:val="single"/>
                <w:lang w:val="en-GB"/>
              </w:rPr>
              <w:t>Secondary</w:t>
            </w:r>
            <w:r w:rsidRPr="00815D0B">
              <w:rPr>
                <w:rFonts w:ascii="Arial" w:hAnsi="Arial" w:eastAsia="Times New Roman" w:cs="Arial"/>
                <w:b/>
                <w:bCs/>
                <w:sz w:val="20"/>
                <w:szCs w:val="20"/>
                <w:lang w:val="en-GB"/>
              </w:rPr>
              <w:t xml:space="preserve"> Outcome: </w:t>
            </w:r>
            <w:r w:rsidR="00815D0B" w:rsidRPr="009C7844">
              <w:rPr>
                <w:rFonts w:ascii="Times New Roman" w:hAnsi="Times New Roman" w:eastAsia="Times New Roman" w:cs="Times New Roman"/>
                <w:sz w:val="20"/>
                <w:szCs w:val="20"/>
                <w:shd w:val="clear" w:color="auto" w:fill="E0E0E0"/>
                <w:lang w:val="en-GB"/>
              </w:rPr>
              <w:t>From UNDP’s Biodiversity and Ecosystems Global Framework 2012-2020 Signature Programme #1 Promoting holistic valuation of biodiversity and ecosystem services to strengthen the case for government investments</w:t>
            </w:r>
          </w:p>
        </w:tc>
      </w:tr>
      <w:tr w14:paraId="0D13B990" w:rsidR="005D2CF4" w:rsidRPr="005D2CF4" w:rsidTr="005D2CF4">
        <w:tc>
          <w:tcPr>
            <w:tcW w:w="9540" w:type="dxa"/>
            <w:gridSpan w:val="4"/>
            <w:vAlign w:val="center"/>
          </w:tcPr>
          <w:p w14:paraId="0AF7D174" w:rsidR="005D2CF4" w:rsidRPr="00815D0B" w:rsidRDefault="005D2CF4" w:rsidP="009C3E04">
            <w:pPr>
              <w:tabs>
                <w:tab w:val="left" w:pos="4680"/>
              </w:tabs>
              <w:spacing w:after="60" w:line="240" w:lineRule="auto"/>
              <w:rPr>
                <w:rFonts w:ascii="Arial" w:eastAsia="Times New Roman" w:hAnsi="Arial" w:cs="Times New Roman"/>
                <w:iCs/>
                <w:sz w:val="18"/>
                <w:szCs w:val="18"/>
                <w:lang w:val="en-GB"/>
              </w:rPr>
            </w:pPr>
            <w:r w:rsidRPr="00815D0B">
              <w:rPr>
                <w:rFonts w:ascii="Arial" w:hAnsi="Arial" w:eastAsia="Times New Roman" w:cs="Arial"/>
                <w:b/>
                <w:bCs/>
                <w:sz w:val="20"/>
                <w:szCs w:val="20"/>
                <w:lang w:val="en-GB"/>
              </w:rPr>
              <w:t>Expected CP Outcome(s):</w:t>
            </w:r>
            <w:r w:rsidRPr="00815D0B">
              <w:rPr>
                <w:rFonts w:ascii="Arial" w:hAnsi="Arial" w:eastAsia="Times New Roman" w:cs="Times New Roman"/>
                <w:iCs/>
                <w:sz w:val="18"/>
                <w:szCs w:val="18"/>
                <w:lang w:val="en-GB"/>
              </w:rPr>
              <w:t xml:space="preserve"> </w:t>
            </w:r>
            <w:r w:rsidR="00815D0B" w:rsidRPr="009C7844">
              <w:rPr>
                <w:rFonts w:ascii="Times New Roman" w:hAnsi="Times New Roman" w:eastAsia="Times New Roman" w:cs="Times New Roman"/>
                <w:sz w:val="20"/>
                <w:szCs w:val="20"/>
                <w:shd w:val="clear" w:color="auto" w:fill="E0E0E0"/>
                <w:lang w:val="en-GB"/>
              </w:rPr>
              <w:t>Outcome  #1: Enhanced capacity of national, sub-regional and regional institutions and stakeholders to: effectively manage natural resources; build resilience to the adverse impacts of climate change and natural and anthropogenic hazards; improved energy efficiency and use of renewable energy; improved policy, legal, regulatory and institutional frameworks for environmental and energy governance.</w:t>
            </w:r>
            <w:r w:rsidR="00815D0B">
              <w:rPr>
                <w:rFonts w:ascii="Arial" w:hAnsi="Arial" w:eastAsia="Times New Roman" w:cs="Times New Roman"/>
                <w:iCs/>
                <w:sz w:val="18"/>
                <w:szCs w:val="18"/>
                <w:lang w:val="en-GB"/>
              </w:rPr>
              <w:t xml:space="preserve"> </w:t>
            </w:r>
          </w:p>
        </w:tc>
      </w:tr>
      <w:tr w14:paraId="1201DA3A" w:rsidR="005D2CF4" w:rsidRPr="005D2CF4" w:rsidTr="005D2CF4">
        <w:tc>
          <w:tcPr>
            <w:tcW w:w="9540" w:type="dxa"/>
            <w:gridSpan w:val="4"/>
            <w:vAlign w:val="center"/>
          </w:tcPr>
          <w:p w14:paraId="3ABE4F65" w:rsidR="005D2CF4" w:rsidRPr="00815D0B" w:rsidRDefault="005D2CF4" w:rsidP="00815D0B">
            <w:pPr>
              <w:tabs>
                <w:tab w:val="left" w:pos="4680"/>
              </w:tabs>
              <w:spacing w:after="60" w:line="240" w:lineRule="auto"/>
              <w:rPr>
                <w:rFonts w:ascii="Arial" w:eastAsia="Times New Roman" w:hAnsi="Arial" w:cs="Arial"/>
                <w:sz w:val="20"/>
                <w:szCs w:val="20"/>
                <w:shd w:val="clear" w:color="auto" w:fill="E0E0E0"/>
                <w:lang w:val="en-GB"/>
              </w:rPr>
            </w:pPr>
            <w:r w:rsidRPr="00815D0B">
              <w:rPr>
                <w:rFonts w:ascii="Arial" w:hAnsi="Arial" w:eastAsia="Times New Roman" w:cs="Arial"/>
                <w:b/>
                <w:sz w:val="20"/>
                <w:szCs w:val="20"/>
                <w:shd w:val="clear" w:color="auto" w:fill="E0E0E0"/>
                <w:lang w:val="en-GB"/>
              </w:rPr>
              <w:t xml:space="preserve">Expected CPAP Output (s) </w:t>
            </w:r>
            <w:r w:rsidR="00815D0B" w:rsidRPr="00300C5F">
              <w:rPr>
                <w:rFonts w:ascii="Arial" w:hAnsi="Arial" w:eastAsia="Times New Roman" w:cs="Arial"/>
                <w:sz w:val="20"/>
                <w:szCs w:val="20"/>
                <w:shd w:val="clear" w:color="auto" w:fill="E0E0E0"/>
                <w:lang w:val="en-GB"/>
              </w:rPr>
              <w:t>Output 4: Knowledge and good practices disseminated and capacity development in the areas of natural resource management, disaster risk reduction, climate change, renewable energy, energy efficiency, low carbon emissions, biosafety and adherence to international standards and norms</w:t>
            </w:r>
          </w:p>
        </w:tc>
      </w:tr>
      <w:tr w14:paraId="41969D21" w:rsidR="005D2CF4" w:rsidRPr="005D2CF4" w:rsidTr="005D2CF4">
        <w:tc>
          <w:tcPr>
            <w:tcW w:w="9090" w:type="dxa"/>
            <w:gridSpan w:val="2"/>
            <w:shd w:val="clear" w:color="auto" w:fill="FFFFFF"/>
            <w:vAlign w:val="center"/>
          </w:tcPr>
          <w:p w14:paraId="55DC3A10" w:rsidR="005D2CF4" w:rsidRPr="005D2CF4" w:rsidRDefault="005D2CF4" w:rsidP="009C3E04">
            <w:pPr>
              <w:tabs>
                <w:tab w:val="left" w:pos="4680"/>
              </w:tabs>
              <w:spacing w:after="60" w:line="240" w:lineRule="auto"/>
              <w:rPr>
                <w:rFonts w:ascii="Arial (W1)" w:eastAsia="Times New Roman" w:hAnsi="Arial (W1)" w:cs="Arial"/>
                <w:b/>
                <w:sz w:val="20"/>
                <w:szCs w:val="20"/>
                <w:shd w:val="clear" w:color="auto" w:fill="E0E0E0"/>
                <w:lang w:val="en-GB"/>
              </w:rPr>
            </w:pPr>
            <w:r w:rsidRPr="005D2CF4">
              <w:rPr>
                <w:rFonts w:ascii="Arial (W1)" w:hAnsi="Arial (W1)" w:eastAsia="Times New Roman" w:cs="Arial"/>
                <w:b/>
                <w:sz w:val="20"/>
                <w:szCs w:val="20"/>
                <w:shd w:val="clear" w:color="auto" w:fill="E0E0E0"/>
                <w:lang w:val="en-GB"/>
              </w:rPr>
              <w:t>Executing Entity/Implementing Partner:</w:t>
            </w:r>
            <w:r>
              <w:t xml:space="preserve"> </w:t>
            </w:r>
            <w:r w:rsidRPr="005D2CF4">
              <w:rPr>
                <w:rFonts w:ascii="Arial (W1)" w:hAnsi="Arial (W1)" w:eastAsia="Times New Roman" w:cs="Arial"/>
                <w:sz w:val="20"/>
                <w:szCs w:val="20"/>
                <w:shd w:val="clear" w:color="auto" w:fill="E0E0E0"/>
                <w:lang w:val="en-GB"/>
              </w:rPr>
              <w:t>Ministry of Agriculture, Lands, Forestry and Fisheries and the Environment.</w:t>
            </w:r>
          </w:p>
        </w:tc>
        <w:tc>
          <w:tcPr>
            <w:tcW w:w="450" w:type="dxa"/>
            <w:gridSpan w:val="2"/>
            <w:shd w:val="clear" w:color="auto" w:fill="FFFFFF"/>
            <w:vAlign w:val="center"/>
          </w:tcPr>
          <w:p w14:paraId="77C34E46" w:rsidR="005D2CF4" w:rsidRPr="005D2CF4" w:rsidRDefault="005D2CF4" w:rsidP="009C3E04">
            <w:pPr>
              <w:tabs>
                <w:tab w:val="left" w:pos="4680"/>
              </w:tabs>
              <w:spacing w:after="60" w:line="240" w:lineRule="auto"/>
              <w:rPr>
                <w:rFonts w:ascii="Arial" w:eastAsia="Times New Roman" w:hAnsi="Arial" w:cs="Arial"/>
                <w:b/>
                <w:sz w:val="20"/>
                <w:szCs w:val="20"/>
                <w:shd w:val="clear" w:color="auto" w:fill="E0E0E0"/>
                <w:lang w:val="en-GB"/>
              </w:rPr>
            </w:pPr>
          </w:p>
        </w:tc>
      </w:tr>
      <w:tr w14:paraId="5E87CF88" w:rsidR="005D2CF4" w:rsidRPr="005D2CF4" w:rsidTr="005D2CF4">
        <w:tc>
          <w:tcPr>
            <w:tcW w:w="9270" w:type="dxa"/>
            <w:gridSpan w:val="3"/>
            <w:vAlign w:val="center"/>
          </w:tcPr>
          <w:p w14:paraId="642DC4DA" w:rsidR="005D2CF4" w:rsidRPr="005D2CF4" w:rsidRDefault="005D2CF4" w:rsidP="009C3E04">
            <w:pPr>
              <w:tabs>
                <w:tab w:val="left" w:pos="4680"/>
              </w:tabs>
              <w:spacing w:after="60" w:line="240" w:lineRule="auto"/>
              <w:rPr>
                <w:rFonts w:ascii="Arial" w:eastAsia="Times New Roman" w:hAnsi="Arial" w:cs="Arial"/>
                <w:b/>
                <w:bCs/>
                <w:sz w:val="20"/>
                <w:szCs w:val="20"/>
                <w:lang w:val="en-GB"/>
              </w:rPr>
            </w:pPr>
            <w:r w:rsidRPr="005D2CF4">
              <w:rPr>
                <w:rFonts w:ascii="Arial" w:hAnsi="Arial" w:eastAsia="Times New Roman" w:cs="Arial"/>
                <w:b/>
                <w:bCs/>
                <w:sz w:val="20"/>
                <w:szCs w:val="20"/>
                <w:lang w:val="en-GB"/>
              </w:rPr>
              <w:t>Implementing Entity/Responsible Partners:</w:t>
            </w:r>
            <w:r>
              <w:rPr>
                <w:rFonts w:ascii="Arial" w:hAnsi="Arial" w:eastAsia="Times New Roman" w:cs="Arial"/>
                <w:b/>
                <w:bCs/>
                <w:sz w:val="20"/>
                <w:szCs w:val="20"/>
                <w:lang w:val="en-GB"/>
              </w:rPr>
              <w:t xml:space="preserve"> </w:t>
            </w:r>
            <w:r w:rsidRPr="005D2CF4">
              <w:rPr>
                <w:rFonts w:ascii="Arial" w:hAnsi="Arial" w:eastAsia="Times New Roman" w:cs="Arial"/>
                <w:bCs/>
                <w:sz w:val="20"/>
                <w:szCs w:val="20"/>
                <w:lang w:val="en-GB"/>
              </w:rPr>
              <w:t>United Nations Development Programme</w:t>
            </w:r>
          </w:p>
        </w:tc>
        <w:tc>
          <w:tcPr>
            <w:tcW w:w="270" w:type="dxa"/>
            <w:vAlign w:val="center"/>
          </w:tcPr>
          <w:p w14:paraId="710C45A0" w:rsidR="005D2CF4" w:rsidRPr="005D2CF4" w:rsidRDefault="005D2CF4" w:rsidP="009C3E04">
            <w:pPr>
              <w:tabs>
                <w:tab w:val="left" w:pos="4680"/>
              </w:tabs>
              <w:spacing w:after="60" w:line="240" w:lineRule="auto"/>
              <w:rPr>
                <w:rFonts w:ascii="Arial" w:eastAsia="Times New Roman" w:hAnsi="Arial" w:cs="Arial"/>
                <w:sz w:val="20"/>
                <w:szCs w:val="20"/>
                <w:shd w:val="clear" w:color="auto" w:fill="E0E0E0"/>
                <w:lang w:val="en-GB"/>
              </w:rPr>
            </w:pPr>
          </w:p>
        </w:tc>
      </w:tr>
    </w:tbl>
    <w:p w14:paraId="13C8BA97" w:rsidR="005D2CF4" w:rsidRPr="005D2CF4" w:rsidRDefault="007919A9" w:rsidP="009C3E04">
      <w:pPr>
        <w:tabs>
          <w:tab w:val="left" w:pos="4680"/>
        </w:tabs>
        <w:spacing w:after="60" w:line="240" w:lineRule="auto"/>
        <w:rPr>
          <w:rFonts w:ascii="Arial" w:eastAsia="Times New Roman" w:hAnsi="Arial" w:cs="Arial"/>
          <w:sz w:val="20"/>
          <w:szCs w:val="20"/>
          <w:shd w:val="clear" w:color="auto" w:fill="E0E0E0"/>
          <w:lang w:val="en-GB"/>
        </w:rPr>
      </w:pPr>
      <w:r>
        <w:rPr>
          <w:rFonts w:ascii="Arial" w:hAnsi="Arial" w:eastAsia="Times New Roman" w:cs="Arial"/>
          <w:noProof/>
          <w:sz w:val="20"/>
          <w:szCs w:val="20"/>
        </w:rPr>
        <mc:AlternateContent>
          <mc:Choice Requires="wps">
            <w:drawing>
              <wp:inline distT="0" distB="0" distL="0" distR="0" wp14:anchorId="3F7E8715" wp14:editId="74110465">
                <wp:extent cx="6057900" cy="2257262"/>
                <wp:effectExtent l="0" t="0" r="19050" b="10160"/>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57262"/>
                        </a:xfrm>
                        <a:prstGeom prst="rect">
                          <a:avLst/>
                        </a:prstGeom>
                        <a:solidFill>
                          <a:srgbClr val="FFFFFF"/>
                        </a:solidFill>
                        <a:ln w="9525">
                          <a:solidFill>
                            <a:srgbClr val="000000"/>
                          </a:solidFill>
                          <a:miter lim="800000"/>
                          <a:headEnd/>
                          <a:tailEnd/>
                        </a:ln>
                      </wps:spPr>
                      <wps:txbx>
                        <w:txbxContent>
                          <w:p w14:paraId="13D84958" w:rsidR="003B23A1" w:rsidRPr="00A4529B" w:rsidRDefault="003B23A1" w:rsidP="00815D0B">
                            <w:pPr>
                              <w:spacing w:after="0" w:line="240" w:lineRule="auto"/>
                              <w:jc w:val="center"/>
                              <w:rPr>
                                <w:b/>
                                <w:bCs/>
                                <w:sz w:val="20"/>
                              </w:rPr>
                            </w:pPr>
                            <w:r w:rsidRPr="00A4529B">
                              <w:rPr>
                                <w:b/>
                                <w:bCs/>
                                <w:sz w:val="20"/>
                              </w:rPr>
                              <w:t>Brief Description</w:t>
                            </w:r>
                          </w:p>
                          <w:p w14:paraId="15A4007B" w:rsidR="003B23A1" w:rsidRPr="005D2CF4" w:rsidRDefault="003B23A1" w:rsidP="00815D0B">
                            <w:pPr>
                              <w:spacing w:after="0" w:line="240" w:lineRule="auto"/>
                              <w:jc w:val="both"/>
                              <w:rPr>
                                <w:bCs/>
                                <w:sz w:val="20"/>
                              </w:rPr>
                            </w:pPr>
                            <w:r w:rsidRPr="005D2CF4">
                              <w:rPr>
                                <w:bCs/>
                                <w:sz w:val="20"/>
                              </w:rPr>
                              <w:t>The project will provide multiple global and local benefits by strengthening land, forest and reef management processes (eco-systems functions) and biodiversity conservation on all terrestrial landscapes and marine and</w:t>
                            </w:r>
                            <w:r>
                              <w:rPr>
                                <w:bCs/>
                                <w:sz w:val="20"/>
                              </w:rPr>
                              <w:t xml:space="preserve"> seascapes in Grenada,</w:t>
                            </w:r>
                            <w:r w:rsidRPr="005D2CF4">
                              <w:rPr>
                                <w:bCs/>
                                <w:sz w:val="20"/>
                              </w:rPr>
                              <w:t xml:space="preserve"> especially within and around marine and terrestrial protected areas. This will be achieved through a multi-focal strategy having a “Ridge to Reef” approach that increases protected areas</w:t>
                            </w:r>
                            <w:r>
                              <w:rPr>
                                <w:bCs/>
                                <w:sz w:val="20"/>
                              </w:rPr>
                              <w:t>’</w:t>
                            </w:r>
                            <w:r w:rsidRPr="005D2CF4">
                              <w:rPr>
                                <w:bCs/>
                                <w:sz w:val="20"/>
                              </w:rPr>
                              <w:t xml:space="preserve"> management effectiveness and applies targeted land management practices to include: (i) Development of a policy-based legal, planning and </w:t>
                            </w:r>
                            <w:r>
                              <w:rPr>
                                <w:bCs/>
                                <w:sz w:val="20"/>
                              </w:rPr>
                              <w:t>institutional /regulatory frame</w:t>
                            </w:r>
                            <w:r w:rsidRPr="005D2CF4">
                              <w:rPr>
                                <w:bCs/>
                                <w:sz w:val="20"/>
                              </w:rPr>
                              <w:t>work in support of a sustainably managed network of TPAs and MPAs; (ii) Development and management of landscapes and seascapes by adopting the approach of integrating SLM and SFM/REDD+</w:t>
                            </w:r>
                            <w:r>
                              <w:rPr>
                                <w:bCs/>
                                <w:sz w:val="20"/>
                              </w:rPr>
                              <w:t xml:space="preserve"> </w:t>
                            </w:r>
                            <w:r w:rsidRPr="005D2CF4">
                              <w:rPr>
                                <w:bCs/>
                                <w:sz w:val="20"/>
                              </w:rPr>
                              <w:t>principles and practices as a matter of public policy (integrated approach for managing forest ecosystems, protection and sustainable use of the biodiversity, prevention of land/sea degradation, and integration of peoples livelihood objectives within the management of forest and marine eco-systems.); (iii) By piloting SFM/REDD+ and SLM practices in the Annandale/ Beausejour watershed to improve Carbon stocks, reducing deforestation, reducing susceptibility to drought (and forest fires) and consequent land degradation that would impact downstream landscapes and seascapes.</w:t>
                            </w:r>
                          </w:p>
                        </w:txbxContent>
                      </wps:txbx>
                      <wps:bodyPr rot="0" vert="horz" wrap="square" lIns="91440" tIns="45720" rIns="91440" bIns="45720" anchor="t" anchorCtr="0" upright="1">
                        <a:noAutofit/>
                      </wps:bodyPr>
                    </wps:wsp>
                  </a:graphicData>
                </a:graphic>
              </wp:inline>
            </w:drawing>
          </mc:Choice>
          <mc:Fallback>
            <w:pict w14:anchorId="12DEE565">
              <v:shapetype w14:anchorId="3F7E8715" id="_x0000_t202" coordsize="21600,21600" o:spt="202" path="m,l,21600r21600,l21600,xe">
                <v:stroke joinstyle="miter"/>
                <v:path gradientshapeok="t" o:connecttype="rect"/>
              </v:shapetype>
              <v:shape id="Text Box 23" o:spid="_x0000_s1026" type="#_x0000_t202" style="width:477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QcKgIAAFIEAAAOAAAAZHJzL2Uyb0RvYy54bWysVNtu2zAMfR+wfxD0vthxk7Qx4hRdugwD&#10;ugvQ7gNkWbaFyaImKbGzrx8lu1l2exnmB4EUqUPykPTmdugUOQrrJOiCzmcpJUJzqKRuCvr5af/q&#10;hhLnma6YAi0KehKO3m5fvtj0JhcZtKAqYQmCaJf3pqCt9yZPEsdb0TE3AyM0GmuwHfOo2iapLOsR&#10;vVNJlqarpAdbGQtcOIe396ORbiN+XQvuP9a1E56ogmJuPp42nmU4k+2G5Y1lppV8SoP9QxYdkxqD&#10;nqHumWfkYOVvUJ3kFhzUfsahS6CuJRexBqxmnv5SzWPLjIi1IDnOnGly/w+Wfzh+skRWBb2iRLMO&#10;W/QkBk9ew0Cyq0BPb1yOXo8G/fyA99jmWKozD8C/OKJh1zLdiDtroW8FqzC9eXiZXDwdcVwAKfv3&#10;UGEcdvAQgYbadoE7ZIMgOrbpdG5NyIXj5SpdXq9TNHG0ZdnyOltlMQbLn58b6/xbAR0JQkEt9j7C&#10;s+OD8yEdlj+7hGgOlKz2Uqmo2KbcKUuODOdkH78J/Sc3pUlf0PUyW44M/BUijd+fIDrpceCV7Ap6&#10;c3ZieeDtja7iOHom1ShjykpPRAbuRhb9UA5TY0qoTkiphXGwcRFRaMF+o6THoS6o+3pgVlCi3mls&#10;y3q+WIQtiMoCSUTFXlrKSwvTHKEK6ikZxZ0fN+dgrGxajDQOgoY7bGUtI8mh52NWU944uJH7acnC&#10;Zlzq0evHr2D7HQAA//8DAFBLAwQUAAYACAAAACEAYAFxc9wAAAAFAQAADwAAAGRycy9kb3ducmV2&#10;LnhtbEyPwU7DMBBE70j8g7VIXBB1oE1pQ5wKIYHgBm0FVzfeJhH2OthuGv6ehQtcRhrNauZtuRqd&#10;FQOG2HlScDXJQCDV3nTUKNhuHi4XIGLSZLT1hAq+MMKqOj0pdWH8kV5xWKdGcAnFQitoU+oLKWPd&#10;otNx4nskzvY+OJ3YhkaaoI9c7qy8zrK5dLojXmh1j/ct1h/rg1OwmD0N7/F5+vJWz/d2mS5uhsfP&#10;oNT52Xh3CyLhmP6O4Qef0aFipp0/kInCKuBH0q9ytsxnbHcKpnmeg6xK+Z+++gYAAP//AwBQSwEC&#10;LQAUAAYACAAAACEAtoM4kv4AAADhAQAAEwAAAAAAAAAAAAAAAAAAAAAAW0NvbnRlbnRfVHlwZXNd&#10;LnhtbFBLAQItABQABgAIAAAAIQA4/SH/1gAAAJQBAAALAAAAAAAAAAAAAAAAAC8BAABfcmVscy8u&#10;cmVsc1BLAQItABQABgAIAAAAIQCUC6QcKgIAAFIEAAAOAAAAAAAAAAAAAAAAAC4CAABkcnMvZTJv&#10;RG9jLnhtbFBLAQItABQABgAIAAAAIQBgAXFz3AAAAAUBAAAPAAAAAAAAAAAAAAAAAIQEAABkcnMv&#10;ZG93bnJldi54bWxQSwUGAAAAAAQABADzAAAAjQUAAAAA&#10;">
                <v:textbox>
                  <w:txbxContent>
                    <w:p w14:paraId="38892DBC" w:rsidR="003B23A1" w:rsidRPr="00A4529B" w:rsidRDefault="003B23A1" w:rsidP="00815D0B">
                      <w:pPr>
                        <w:spacing w:after="0" w:line="240" w:lineRule="auto"/>
                        <w:jc w:val="center"/>
                        <w:rPr>
                          <w:b/>
                          <w:bCs/>
                          <w:sz w:val="20"/>
                        </w:rPr>
                      </w:pPr>
                      <w:r w:rsidRPr="00A4529B">
                        <w:rPr>
                          <w:b/>
                          <w:bCs/>
                          <w:sz w:val="20"/>
                        </w:rPr>
                        <w:t>Brief Description</w:t>
                      </w:r>
                    </w:p>
                    <w:p w14:paraId="31BA3262" w:rsidR="003B23A1" w:rsidRPr="005D2CF4" w:rsidRDefault="003B23A1" w:rsidP="00815D0B">
                      <w:pPr>
                        <w:spacing w:after="0" w:line="240" w:lineRule="auto"/>
                        <w:jc w:val="both"/>
                        <w:rPr>
                          <w:bCs/>
                          <w:sz w:val="20"/>
                        </w:rPr>
                      </w:pPr>
                      <w:r w:rsidRPr="005D2CF4">
                        <w:rPr>
                          <w:bCs/>
                          <w:sz w:val="20"/>
                        </w:rPr>
                        <w:t>The project will provide multiple global and local benefits by strengthening land, forest and reef management processes (eco-systems functions) and biodiversity conservation on all terrestrial landscapes and marine and</w:t>
                      </w:r>
                      <w:r>
                        <w:rPr>
                          <w:bCs/>
                          <w:sz w:val="20"/>
                        </w:rPr>
                        <w:t xml:space="preserve"> seascapes in Grenada,</w:t>
                      </w:r>
                      <w:r w:rsidRPr="005D2CF4">
                        <w:rPr>
                          <w:bCs/>
                          <w:sz w:val="20"/>
                        </w:rPr>
                        <w:t xml:space="preserve"> especially within and around marine and terrestrial protected areas. This will be achieved through a multi-focal strategy having a “Ridge to Reef” approach that increases protected areas</w:t>
                      </w:r>
                      <w:r>
                        <w:rPr>
                          <w:bCs/>
                          <w:sz w:val="20"/>
                        </w:rPr>
                        <w:t>’</w:t>
                      </w:r>
                      <w:r w:rsidRPr="005D2CF4">
                        <w:rPr>
                          <w:bCs/>
                          <w:sz w:val="20"/>
                        </w:rPr>
                        <w:t xml:space="preserve"> management effectiveness and applies targeted land management practices to include: (i) Development of a policy-based legal, planning and </w:t>
                      </w:r>
                      <w:r>
                        <w:rPr>
                          <w:bCs/>
                          <w:sz w:val="20"/>
                        </w:rPr>
                        <w:t>institutional /regulatory frame</w:t>
                      </w:r>
                      <w:r w:rsidRPr="005D2CF4">
                        <w:rPr>
                          <w:bCs/>
                          <w:sz w:val="20"/>
                        </w:rPr>
                        <w:t>work in support of a sustainably managed network of TPAs and MPAs; (ii) Development and management of landscapes and seascapes by adopting the approach of integrating SLM and SFM/REDD+</w:t>
                      </w:r>
                      <w:r>
                        <w:rPr>
                          <w:bCs/>
                          <w:sz w:val="20"/>
                        </w:rPr>
                        <w:t xml:space="preserve"> </w:t>
                      </w:r>
                      <w:r w:rsidRPr="005D2CF4">
                        <w:rPr>
                          <w:bCs/>
                          <w:sz w:val="20"/>
                        </w:rPr>
                        <w:t>principles and practices as a matter of public policy (integrated approach for managing forest ecosystems, protection and sustainable use of the biodiversity, prevention of land/sea degradation, and integration of peoples livelihood objectives within the management of forest and marine eco-systems.); (iii) By piloting SFM/REDD+ and SLM practices in the Annandale/ Beausejour watershed to improve Carbon stocks, reducing deforestation, reducing susceptibility to drought (and forest fires) and consequent land degradation that would impact downstream landscapes and seascapes.</w:t>
                      </w:r>
                    </w:p>
                  </w:txbxContent>
                </v:textbox>
                <w10:anchorlock/>
              </v:shape>
            </w:pict>
          </mc:Fallback>
        </mc:AlternateContent>
      </w:r>
      <w:r w:rsidR="005D2CF4" w:rsidRPr="005D2CF4">
        <w:rPr>
          <w:rFonts w:ascii="Arial" w:hAnsi="Arial" w:eastAsia="Times New Roman" w:cs="Arial"/>
          <w:sz w:val="20"/>
          <w:szCs w:val="20"/>
          <w:lang w:val="en-GB"/>
        </w:rPr>
        <w:tab/>
      </w:r>
    </w:p>
    <w:p w14:paraId="0A02BC41" w:rsidR="005D2CF4" w:rsidRPr="005D2CF4" w:rsidRDefault="005D2CF4" w:rsidP="009C3E04">
      <w:pPr>
        <w:spacing w:after="60" w:line="240" w:lineRule="auto"/>
        <w:rPr>
          <w:rFonts w:ascii="Arial" w:eastAsia="Times New Roman" w:hAnsi="Arial" w:cs="Arial"/>
          <w:sz w:val="20"/>
          <w:szCs w:val="20"/>
          <w:lang w:val="en-GB"/>
        </w:rPr>
      </w:pPr>
    </w:p>
    <w:p w14:paraId="360FE934" w:rsidR="005D2CF4" w:rsidRPr="005D2CF4" w:rsidRDefault="005D2CF4" w:rsidP="009C3E04">
      <w:pPr>
        <w:spacing w:after="60" w:line="240" w:lineRule="auto"/>
        <w:rPr>
          <w:rFonts w:ascii="Arial" w:eastAsia="Times New Roman" w:hAnsi="Arial" w:cs="Arial"/>
          <w:sz w:val="20"/>
          <w:szCs w:val="20"/>
          <w:lang w:val="en-GB"/>
        </w:rPr>
      </w:pPr>
    </w:p>
    <w:p w14:paraId="678FA7A3" w:rsidR="005D2CF4" w:rsidRPr="005D2CF4" w:rsidRDefault="005D2CF4" w:rsidP="009C3E04">
      <w:pPr>
        <w:spacing w:after="60" w:line="240" w:lineRule="auto"/>
        <w:rPr>
          <w:rFonts w:ascii="Arial" w:eastAsia="Times New Roman" w:hAnsi="Arial" w:cs="Arial"/>
          <w:sz w:val="20"/>
          <w:szCs w:val="20"/>
          <w:lang w:val="en-GB"/>
        </w:rPr>
      </w:pPr>
    </w:p>
    <w:p w14:paraId="279BB880" w:rsidR="005D2CF4" w:rsidRPr="005D2CF4" w:rsidRDefault="005D2CF4" w:rsidP="009C3E04">
      <w:pPr>
        <w:spacing w:after="60" w:line="240" w:lineRule="auto"/>
        <w:rPr>
          <w:rFonts w:ascii="Arial" w:eastAsia="Times New Roman" w:hAnsi="Arial" w:cs="Arial"/>
          <w:sz w:val="20"/>
          <w:szCs w:val="20"/>
          <w:lang w:val="en-GB"/>
        </w:rPr>
      </w:pPr>
    </w:p>
    <w:p w14:paraId="158B7E7A" w:rsidR="005D2CF4" w:rsidRPr="005D2CF4" w:rsidRDefault="005D2CF4" w:rsidP="009C3E04">
      <w:pPr>
        <w:spacing w:after="60" w:line="240" w:lineRule="auto"/>
        <w:rPr>
          <w:rFonts w:ascii="Arial" w:eastAsia="Times New Roman" w:hAnsi="Arial" w:cs="Arial"/>
          <w:sz w:val="20"/>
          <w:szCs w:val="20"/>
          <w:lang w:val="en-GB"/>
        </w:rPr>
      </w:pPr>
    </w:p>
    <w:p w14:paraId="55BC339E" w:rsidR="005D2CF4" w:rsidRPr="005D2CF4" w:rsidRDefault="005D2CF4" w:rsidP="009C3E04">
      <w:pPr>
        <w:spacing w:after="60" w:line="240" w:lineRule="auto"/>
        <w:rPr>
          <w:rFonts w:ascii="Arial" w:eastAsia="Times New Roman" w:hAnsi="Arial" w:cs="Arial"/>
          <w:sz w:val="20"/>
          <w:szCs w:val="20"/>
          <w:lang w:val="en-GB"/>
        </w:rPr>
      </w:pPr>
    </w:p>
    <w:p w14:paraId="7FF996A3" w:rsidR="005D2CF4" w:rsidRPr="005D2CF4" w:rsidRDefault="005D2CF4" w:rsidP="009C3E04">
      <w:pPr>
        <w:spacing w:after="60" w:line="240" w:lineRule="auto"/>
        <w:rPr>
          <w:rFonts w:ascii="Arial" w:eastAsia="Times New Roman" w:hAnsi="Arial" w:cs="Arial"/>
          <w:sz w:val="20"/>
          <w:szCs w:val="20"/>
          <w:lang w:val="en-GB"/>
        </w:rPr>
      </w:pPr>
    </w:p>
    <w:p w14:paraId="7F1AA563" w:rsidR="005D2CF4" w:rsidRPr="005D2CF4" w:rsidRDefault="005D2CF4" w:rsidP="009C3E04">
      <w:pPr>
        <w:spacing w:after="60" w:line="240" w:lineRule="auto"/>
        <w:rPr>
          <w:rFonts w:ascii="Arial" w:eastAsia="Times New Roman" w:hAnsi="Arial" w:cs="Arial"/>
          <w:sz w:val="20"/>
          <w:szCs w:val="20"/>
          <w:lang w:val="en-GB"/>
        </w:rPr>
      </w:pPr>
    </w:p>
    <w:p w14:paraId="63076137" w:rsidR="005D2CF4" w:rsidRPr="005D2CF4" w:rsidRDefault="005D2CF4" w:rsidP="009C3E04">
      <w:pPr>
        <w:spacing w:after="60" w:line="240" w:lineRule="auto"/>
        <w:rPr>
          <w:rFonts w:ascii="Arial" w:eastAsia="Times New Roman" w:hAnsi="Arial" w:cs="Arial"/>
          <w:sz w:val="20"/>
          <w:szCs w:val="20"/>
          <w:lang w:val="en-GB"/>
        </w:rPr>
      </w:pPr>
    </w:p>
    <w:p w14:paraId="2A2AD3CA" w:rsidR="005D2CF4" w:rsidRPr="005D2CF4" w:rsidRDefault="005D2CF4" w:rsidP="009C3E04">
      <w:pPr>
        <w:spacing w:after="60" w:line="240" w:lineRule="auto"/>
        <w:rPr>
          <w:rFonts w:ascii="Arial" w:eastAsia="Times New Roman" w:hAnsi="Arial" w:cs="Arial"/>
          <w:b/>
          <w:sz w:val="20"/>
          <w:szCs w:val="20"/>
          <w:lang w:val="en-GB"/>
        </w:rPr>
      </w:pPr>
    </w:p>
    <w:p w14:paraId="5566DB54" w:rsidR="005D2CF4" w:rsidRDefault="005D2CF4" w:rsidP="009C3E04">
      <w:pPr>
        <w:pBdr>
          <w:bottom w:val="single" w:sz="4" w:space="1" w:color="auto"/>
        </w:pBdr>
        <w:spacing w:after="60" w:line="240" w:lineRule="auto"/>
        <w:rPr>
          <w:rFonts w:ascii="Arial" w:eastAsia="Times New Roman" w:hAnsi="Arial" w:cs="Arial"/>
          <w:sz w:val="18"/>
          <w:szCs w:val="18"/>
          <w:lang w:val="en-GB"/>
        </w:rPr>
      </w:pPr>
    </w:p>
    <w:p w14:paraId="19D1A175" w:rsidR="005D2CF4" w:rsidRDefault="005D2CF4" w:rsidP="009C3E04">
      <w:pPr>
        <w:pBdr>
          <w:bottom w:val="single" w:sz="4" w:space="1" w:color="auto"/>
        </w:pBdr>
        <w:spacing w:after="60" w:line="240" w:lineRule="auto"/>
        <w:rPr>
          <w:rFonts w:ascii="Arial" w:eastAsia="Times New Roman" w:hAnsi="Arial" w:cs="Arial"/>
          <w:sz w:val="18"/>
          <w:szCs w:val="18"/>
          <w:lang w:val="en-GB"/>
        </w:rPr>
      </w:pPr>
    </w:p>
    <w:p w14:paraId="18839DC1" w:rsidR="005D2CF4" w:rsidRDefault="005D2CF4" w:rsidP="009C3E04">
      <w:pPr>
        <w:pBdr>
          <w:bottom w:val="single" w:sz="4" w:space="1" w:color="auto"/>
        </w:pBdr>
        <w:spacing w:after="60" w:line="240" w:lineRule="auto"/>
        <w:rPr>
          <w:rFonts w:ascii="Arial" w:eastAsia="Times New Roman" w:hAnsi="Arial" w:cs="Arial"/>
          <w:sz w:val="18"/>
          <w:szCs w:val="18"/>
          <w:lang w:val="en-GB"/>
        </w:rPr>
      </w:pPr>
    </w:p>
    <w:p w14:paraId="3EA18F1F" w:rsidR="005D2CF4" w:rsidRDefault="005D2CF4" w:rsidP="009C3E04">
      <w:pPr>
        <w:pBdr>
          <w:bottom w:val="single" w:sz="4" w:space="1" w:color="auto"/>
        </w:pBdr>
        <w:spacing w:after="60" w:line="240" w:lineRule="auto"/>
        <w:rPr>
          <w:rFonts w:ascii="Arial" w:eastAsia="Times New Roman" w:hAnsi="Arial" w:cs="Arial"/>
          <w:sz w:val="18"/>
          <w:szCs w:val="18"/>
          <w:lang w:val="en-GB"/>
        </w:rPr>
      </w:pPr>
    </w:p>
    <w:tbl>
      <w:tblPr>
        <w:tblStyle w:val="TableGrid"/>
        <w:tblpPr w:leftFromText="180" w:rightFromText="180" w:vertAnchor="page" w:horzAnchor="margin" w:tblpY="1558"/>
        <w:tblW w:w="9360" w:type="dxa"/>
        <w:tblLook w:val="04A0" w:firstRow="1" w:lastRow="0" w:firstColumn="1" w:lastColumn="0" w:noHBand="0" w:noVBand="1"/>
      </w:tblPr>
      <w:tblGrid>
        <w:gridCol w:w="4738"/>
        <w:gridCol w:w="4622"/>
      </w:tblGrid>
      <w:tr w14:paraId="0BD94CE6" w:rsidR="005D2CF4" w:rsidRPr="00A4529B" w:rsidTr="003B23A1">
        <w:trPr>
          <w:trHeight w:val="288"/>
        </w:trPr>
        <w:tc>
          <w:tcPr>
            <w:tcW w:w="4738" w:type="dxa"/>
          </w:tcPr>
          <w:p w14:paraId="2A1284DE" w:rsidR="005D2CF4"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Programme Period</w:t>
            </w:r>
            <w:r w:rsidR="005D2CF4" w:rsidRPr="00A4529B">
              <w:rPr>
                <w:rFonts w:ascii="Times New Roman" w:hAnsi="Times New Roman" w:cs="Times New Roman"/>
                <w:sz w:val="20"/>
                <w:szCs w:val="20"/>
              </w:rPr>
              <w:t>: 2014 – 2019</w:t>
            </w:r>
          </w:p>
        </w:tc>
        <w:tc>
          <w:tcPr>
            <w:tcW w:w="4622" w:type="dxa"/>
          </w:tcPr>
          <w:p w14:paraId="7E57EC22" w:rsidR="005D2CF4"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 xml:space="preserve">Total </w:t>
            </w:r>
            <w:r>
              <w:rPr>
                <w:rFonts w:ascii="Times New Roman" w:hAnsi="Times New Roman" w:cs="Times New Roman"/>
                <w:sz w:val="20"/>
                <w:szCs w:val="20"/>
              </w:rPr>
              <w:t>Resources Required</w:t>
            </w:r>
            <w:r w:rsidR="005D2CF4" w:rsidRPr="00A4529B">
              <w:rPr>
                <w:rFonts w:ascii="Times New Roman" w:hAnsi="Times New Roman" w:cs="Times New Roman"/>
                <w:sz w:val="20"/>
                <w:szCs w:val="20"/>
              </w:rPr>
              <w:t>:</w:t>
            </w:r>
            <w:r w:rsidR="003B23A1">
              <w:t xml:space="preserve"> </w:t>
            </w:r>
            <w:r w:rsidR="003B23A1" w:rsidRPr="003B23A1">
              <w:rPr>
                <w:rFonts w:ascii="Times New Roman" w:hAnsi="Times New Roman" w:cs="Times New Roman"/>
                <w:sz w:val="20"/>
                <w:szCs w:val="20"/>
              </w:rPr>
              <w:t>US$18,458,488</w:t>
            </w:r>
          </w:p>
        </w:tc>
      </w:tr>
      <w:tr w14:paraId="14D2460C" w:rsidR="00A4529B" w:rsidRPr="00A4529B" w:rsidTr="003B23A1">
        <w:trPr>
          <w:trHeight w:val="288"/>
        </w:trPr>
        <w:tc>
          <w:tcPr>
            <w:tcW w:w="4738" w:type="dxa"/>
          </w:tcPr>
          <w:p w14:paraId="02729C32"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ATLAS Award ID:</w:t>
            </w:r>
          </w:p>
        </w:tc>
        <w:tc>
          <w:tcPr>
            <w:tcW w:w="4622" w:type="dxa"/>
          </w:tcPr>
          <w:p w14:paraId="5F2BB024"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 xml:space="preserve">Total Allocated </w:t>
            </w:r>
            <w:r>
              <w:rPr>
                <w:rFonts w:ascii="Times New Roman" w:hAnsi="Times New Roman" w:cs="Times New Roman"/>
                <w:sz w:val="20"/>
                <w:szCs w:val="20"/>
              </w:rPr>
              <w:t xml:space="preserve">Resources </w:t>
            </w:r>
            <w:r w:rsidR="001571FA">
              <w:rPr>
                <w:rFonts w:ascii="Times New Roman" w:hAnsi="Times New Roman" w:cs="Times New Roman"/>
                <w:sz w:val="20"/>
                <w:szCs w:val="20"/>
              </w:rPr>
              <w:t>(Grant</w:t>
            </w:r>
            <w:r w:rsidRPr="00A4529B">
              <w:rPr>
                <w:rFonts w:ascii="Times New Roman" w:hAnsi="Times New Roman" w:cs="Times New Roman"/>
                <w:sz w:val="20"/>
                <w:szCs w:val="20"/>
              </w:rPr>
              <w:t>)</w:t>
            </w:r>
            <w:r>
              <w:rPr>
                <w:rFonts w:ascii="Times New Roman" w:hAnsi="Times New Roman" w:cs="Times New Roman"/>
                <w:sz w:val="20"/>
                <w:szCs w:val="20"/>
              </w:rPr>
              <w:t>:</w:t>
            </w:r>
            <w:r w:rsidR="003B23A1" w:rsidRPr="003B23A1">
              <w:rPr>
                <w:rFonts w:ascii="Times New Roman" w:hAnsi="Times New Roman" w:cs="Times New Roman"/>
                <w:sz w:val="20"/>
                <w:szCs w:val="20"/>
                <w:highlight w:val="yellow"/>
              </w:rPr>
              <w:t>US$18,458,488</w:t>
            </w:r>
          </w:p>
        </w:tc>
      </w:tr>
      <w:tr w14:paraId="6F59B384" w:rsidR="00A4529B" w:rsidRPr="00A4529B" w:rsidTr="003B23A1">
        <w:trPr>
          <w:trHeight w:val="288"/>
        </w:trPr>
        <w:tc>
          <w:tcPr>
            <w:tcW w:w="4738" w:type="dxa"/>
          </w:tcPr>
          <w:p w14:paraId="3E3B138C"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ATLAS Project ID:</w:t>
            </w:r>
          </w:p>
        </w:tc>
        <w:tc>
          <w:tcPr>
            <w:tcW w:w="4622" w:type="dxa"/>
          </w:tcPr>
          <w:p w14:paraId="180D484E"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 xml:space="preserve">GEF:                                     </w:t>
            </w:r>
            <w:r w:rsidR="003B23A1">
              <w:rPr>
                <w:rFonts w:ascii="Times New Roman" w:hAnsi="Times New Roman" w:cs="Times New Roman"/>
                <w:sz w:val="20"/>
                <w:szCs w:val="20"/>
              </w:rPr>
              <w:t xml:space="preserve">          </w:t>
            </w:r>
            <w:r w:rsidRPr="00A4529B">
              <w:rPr>
                <w:rFonts w:ascii="Times New Roman" w:hAnsi="Times New Roman" w:cs="Times New Roman"/>
                <w:sz w:val="20"/>
                <w:szCs w:val="20"/>
              </w:rPr>
              <w:t xml:space="preserve">US$3,031,666          </w:t>
            </w:r>
          </w:p>
        </w:tc>
      </w:tr>
      <w:tr w14:paraId="7F9F352F" w:rsidR="00A4529B" w:rsidRPr="00A4529B" w:rsidTr="003B23A1">
        <w:trPr>
          <w:trHeight w:val="288"/>
        </w:trPr>
        <w:tc>
          <w:tcPr>
            <w:tcW w:w="4738" w:type="dxa"/>
          </w:tcPr>
          <w:p w14:paraId="1A8FEA3B"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GEFSec Project ID: 5069</w:t>
            </w:r>
          </w:p>
        </w:tc>
        <w:tc>
          <w:tcPr>
            <w:tcW w:w="4622" w:type="dxa"/>
          </w:tcPr>
          <w:p w14:paraId="468FE673" w:rsidR="00A4529B" w:rsidRPr="00A4529B" w:rsidRDefault="003B23A1" w:rsidP="009C3E04">
            <w:pPr>
              <w:rPr>
                <w:rFonts w:ascii="Times New Roman" w:hAnsi="Times New Roman" w:cs="Times New Roman"/>
                <w:sz w:val="20"/>
                <w:szCs w:val="20"/>
              </w:rPr>
            </w:pPr>
            <w:r w:rsidRPr="00A4529B">
              <w:rPr>
                <w:rFonts w:ascii="Times New Roman" w:hAnsi="Times New Roman" w:cs="Times New Roman"/>
                <w:sz w:val="20"/>
                <w:szCs w:val="20"/>
              </w:rPr>
              <w:t xml:space="preserve">Ministry of the Environment:  </w:t>
            </w:r>
            <w:r>
              <w:rPr>
                <w:rFonts w:ascii="Times New Roman" w:hAnsi="Times New Roman" w:cs="Times New Roman"/>
                <w:sz w:val="20"/>
                <w:szCs w:val="20"/>
              </w:rPr>
              <w:t xml:space="preserve">      </w:t>
            </w:r>
            <w:r w:rsidRPr="00A4529B">
              <w:rPr>
                <w:rFonts w:ascii="Times New Roman" w:hAnsi="Times New Roman" w:cs="Times New Roman"/>
                <w:sz w:val="20"/>
                <w:szCs w:val="20"/>
              </w:rPr>
              <w:t>US$6,130,525.</w:t>
            </w:r>
          </w:p>
        </w:tc>
      </w:tr>
      <w:tr w14:paraId="424EC649" w:rsidR="00A4529B" w:rsidRPr="00A4529B" w:rsidTr="003B23A1">
        <w:trPr>
          <w:trHeight w:val="288"/>
        </w:trPr>
        <w:tc>
          <w:tcPr>
            <w:tcW w:w="4738" w:type="dxa"/>
          </w:tcPr>
          <w:p w14:paraId="648E251A"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PIMS#: 5087</w:t>
            </w:r>
          </w:p>
        </w:tc>
        <w:tc>
          <w:tcPr>
            <w:tcW w:w="4622" w:type="dxa"/>
          </w:tcPr>
          <w:p w14:paraId="3A7AA53C" w:rsidR="00A4529B" w:rsidRPr="00A4529B" w:rsidRDefault="003B23A1" w:rsidP="009C3E04">
            <w:pPr>
              <w:rPr>
                <w:rFonts w:ascii="Times New Roman" w:hAnsi="Times New Roman" w:cs="Times New Roman"/>
                <w:sz w:val="20"/>
                <w:szCs w:val="20"/>
              </w:rPr>
            </w:pPr>
            <w:r w:rsidRPr="00A4529B">
              <w:rPr>
                <w:rFonts w:ascii="Times New Roman" w:hAnsi="Times New Roman" w:cs="Times New Roman"/>
                <w:sz w:val="20"/>
                <w:szCs w:val="20"/>
              </w:rPr>
              <w:t>Ministry of Agriculture-Fisheries: US$4,629,630.</w:t>
            </w:r>
          </w:p>
        </w:tc>
      </w:tr>
      <w:tr w14:paraId="43085764" w:rsidR="00A4529B" w:rsidRPr="00A4529B" w:rsidTr="003B23A1">
        <w:trPr>
          <w:trHeight w:val="288"/>
        </w:trPr>
        <w:tc>
          <w:tcPr>
            <w:tcW w:w="4738" w:type="dxa"/>
          </w:tcPr>
          <w:p w14:paraId="38F17757" w:rsidR="00A4529B" w:rsidRPr="00A4529B" w:rsidRDefault="00A4529B" w:rsidP="009C3E04">
            <w:pPr>
              <w:rPr>
                <w:rFonts w:ascii="Times New Roman" w:hAnsi="Times New Roman" w:cs="Times New Roman"/>
                <w:sz w:val="20"/>
                <w:szCs w:val="20"/>
              </w:rPr>
            </w:pPr>
          </w:p>
        </w:tc>
        <w:tc>
          <w:tcPr>
            <w:tcW w:w="4622" w:type="dxa"/>
          </w:tcPr>
          <w:p w14:paraId="358763C0" w:rsidR="00A4529B" w:rsidRPr="00A4529B" w:rsidRDefault="003B23A1" w:rsidP="009C3E04">
            <w:pPr>
              <w:rPr>
                <w:rFonts w:ascii="Times New Roman" w:hAnsi="Times New Roman" w:cs="Times New Roman"/>
                <w:sz w:val="20"/>
                <w:szCs w:val="20"/>
              </w:rPr>
            </w:pPr>
            <w:r w:rsidRPr="00A4529B">
              <w:rPr>
                <w:rFonts w:ascii="Times New Roman" w:hAnsi="Times New Roman" w:cs="Times New Roman"/>
                <w:sz w:val="20"/>
                <w:szCs w:val="20"/>
              </w:rPr>
              <w:t>Ministry of Agriculture-Fisheries: US$2,250,000.</w:t>
            </w:r>
          </w:p>
        </w:tc>
      </w:tr>
      <w:tr w14:paraId="37DD6768" w:rsidR="00A4529B" w:rsidRPr="00A4529B" w:rsidTr="003B23A1">
        <w:trPr>
          <w:trHeight w:val="288"/>
        </w:trPr>
        <w:tc>
          <w:tcPr>
            <w:tcW w:w="4738" w:type="dxa"/>
          </w:tcPr>
          <w:p w14:paraId="2C19353B"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Duration: 60 Months</w:t>
            </w:r>
          </w:p>
        </w:tc>
        <w:tc>
          <w:tcPr>
            <w:tcW w:w="4622" w:type="dxa"/>
          </w:tcPr>
          <w:p w14:paraId="7114ABB6" w:rsidR="00A4529B" w:rsidRPr="00A4529B" w:rsidRDefault="003B23A1" w:rsidP="009C3E04">
            <w:pPr>
              <w:rPr>
                <w:rFonts w:ascii="Times New Roman" w:hAnsi="Times New Roman" w:cs="Times New Roman"/>
                <w:sz w:val="20"/>
                <w:szCs w:val="20"/>
              </w:rPr>
            </w:pPr>
            <w:r w:rsidRPr="00A4529B">
              <w:rPr>
                <w:rFonts w:ascii="Times New Roman" w:hAnsi="Times New Roman" w:cs="Times New Roman"/>
                <w:sz w:val="20"/>
                <w:szCs w:val="20"/>
              </w:rPr>
              <w:t xml:space="preserve">Ministry of Tourism: </w:t>
            </w:r>
            <w:r>
              <w:rPr>
                <w:rFonts w:ascii="Times New Roman" w:hAnsi="Times New Roman" w:cs="Times New Roman"/>
                <w:sz w:val="20"/>
                <w:szCs w:val="20"/>
              </w:rPr>
              <w:t xml:space="preserve">                     US$2,166,</w:t>
            </w:r>
            <w:r w:rsidRPr="00A4529B">
              <w:rPr>
                <w:rFonts w:ascii="Times New Roman" w:hAnsi="Times New Roman" w:cs="Times New Roman"/>
                <w:sz w:val="20"/>
                <w:szCs w:val="20"/>
              </w:rPr>
              <w:t>667.</w:t>
            </w:r>
          </w:p>
        </w:tc>
      </w:tr>
      <w:tr w14:paraId="1D658776" w:rsidR="00A4529B" w:rsidRPr="00A4529B" w:rsidTr="003B23A1">
        <w:trPr>
          <w:trHeight w:val="288"/>
        </w:trPr>
        <w:tc>
          <w:tcPr>
            <w:tcW w:w="4738" w:type="dxa"/>
          </w:tcPr>
          <w:p w14:paraId="60A22E71"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Start Date: 2014 (June)</w:t>
            </w:r>
          </w:p>
        </w:tc>
        <w:tc>
          <w:tcPr>
            <w:tcW w:w="4622" w:type="dxa"/>
          </w:tcPr>
          <w:p w14:paraId="20471F22" w:rsidR="00A4529B" w:rsidRPr="00A4529B" w:rsidRDefault="003B23A1" w:rsidP="009C3E04">
            <w:pPr>
              <w:rPr>
                <w:rFonts w:ascii="Times New Roman" w:hAnsi="Times New Roman" w:cs="Times New Roman"/>
                <w:sz w:val="20"/>
                <w:szCs w:val="20"/>
              </w:rPr>
            </w:pPr>
            <w:r w:rsidRPr="00A4529B">
              <w:rPr>
                <w:rFonts w:ascii="Times New Roman" w:hAnsi="Times New Roman" w:cs="Times New Roman"/>
                <w:sz w:val="20"/>
                <w:szCs w:val="20"/>
              </w:rPr>
              <w:t xml:space="preserve">UNDP:                                  </w:t>
            </w:r>
            <w:r>
              <w:rPr>
                <w:rFonts w:ascii="Times New Roman" w:hAnsi="Times New Roman" w:cs="Times New Roman"/>
                <w:sz w:val="20"/>
                <w:szCs w:val="20"/>
              </w:rPr>
              <w:t xml:space="preserve">              </w:t>
            </w:r>
            <w:r w:rsidRPr="00A4529B">
              <w:rPr>
                <w:rFonts w:ascii="Times New Roman" w:hAnsi="Times New Roman" w:cs="Times New Roman"/>
                <w:sz w:val="20"/>
                <w:szCs w:val="20"/>
              </w:rPr>
              <w:t>US$250,000</w:t>
            </w:r>
          </w:p>
        </w:tc>
      </w:tr>
      <w:tr w14:paraId="0A79187D" w:rsidR="00A4529B" w:rsidRPr="00A4529B" w:rsidTr="003B23A1">
        <w:trPr>
          <w:trHeight w:val="288"/>
        </w:trPr>
        <w:tc>
          <w:tcPr>
            <w:tcW w:w="4738" w:type="dxa"/>
          </w:tcPr>
          <w:p w14:paraId="375785F1"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End Date: 2019</w:t>
            </w:r>
          </w:p>
        </w:tc>
        <w:tc>
          <w:tcPr>
            <w:tcW w:w="4622" w:type="dxa"/>
          </w:tcPr>
          <w:p w14:paraId="0AFE3AD0" w:rsidR="00A4529B" w:rsidRPr="00A4529B" w:rsidRDefault="00A4529B" w:rsidP="009C3E04">
            <w:pPr>
              <w:rPr>
                <w:rFonts w:ascii="Times New Roman" w:hAnsi="Times New Roman" w:cs="Times New Roman"/>
                <w:sz w:val="20"/>
                <w:szCs w:val="20"/>
              </w:rPr>
            </w:pPr>
          </w:p>
        </w:tc>
      </w:tr>
      <w:tr w14:paraId="12E734D6" w:rsidR="00A4529B" w:rsidRPr="00A4529B" w:rsidTr="003B23A1">
        <w:trPr>
          <w:trHeight w:val="288"/>
        </w:trPr>
        <w:tc>
          <w:tcPr>
            <w:tcW w:w="4738" w:type="dxa"/>
          </w:tcPr>
          <w:p w14:paraId="57B6EE2D" w:rsidR="00A4529B" w:rsidRPr="003039E6" w:rsidRDefault="00332541" w:rsidP="003039E6">
            <w:pPr>
              <w:rPr>
                <w:rFonts w:ascii="Times New Roman" w:hAnsi="Times New Roman" w:cs="Times New Roman"/>
                <w:sz w:val="20"/>
                <w:szCs w:val="20"/>
                <w:highlight w:val="yellow"/>
              </w:rPr>
            </w:pPr>
            <w:r w:rsidRPr="001571FA">
              <w:rPr>
                <w:rFonts w:ascii="Times New Roman" w:hAnsi="Times New Roman" w:cs="Times New Roman"/>
                <w:sz w:val="20"/>
                <w:szCs w:val="20"/>
              </w:rPr>
              <w:t xml:space="preserve">Management Arrangement: </w:t>
            </w:r>
            <w:r w:rsidR="001571FA" w:rsidRPr="001571FA">
              <w:rPr>
                <w:rFonts w:ascii="Times New Roman" w:hAnsi="Times New Roman" w:cs="Times New Roman"/>
                <w:sz w:val="20"/>
                <w:szCs w:val="20"/>
              </w:rPr>
              <w:t xml:space="preserve"> NIM</w:t>
            </w:r>
          </w:p>
        </w:tc>
        <w:tc>
          <w:tcPr>
            <w:tcW w:w="4622" w:type="dxa"/>
          </w:tcPr>
          <w:p w14:paraId="176BC957" w:rsidR="00A4529B" w:rsidRPr="00A4529B" w:rsidRDefault="00A4529B" w:rsidP="009C3E04">
            <w:pPr>
              <w:rPr>
                <w:rFonts w:ascii="Times New Roman" w:hAnsi="Times New Roman" w:cs="Times New Roman"/>
                <w:sz w:val="20"/>
                <w:szCs w:val="20"/>
              </w:rPr>
            </w:pPr>
          </w:p>
        </w:tc>
      </w:tr>
      <w:tr w14:paraId="00755EBC" w:rsidR="00A4529B" w:rsidRPr="00A4529B" w:rsidTr="003B23A1">
        <w:trPr>
          <w:trHeight w:val="288"/>
        </w:trPr>
        <w:tc>
          <w:tcPr>
            <w:tcW w:w="4738" w:type="dxa"/>
          </w:tcPr>
          <w:p w14:paraId="5DF1ACD1" w:rsidR="00A4529B" w:rsidRPr="00A4529B" w:rsidRDefault="00A4529B" w:rsidP="009C3E04">
            <w:pPr>
              <w:rPr>
                <w:rFonts w:ascii="Times New Roman" w:hAnsi="Times New Roman" w:cs="Times New Roman"/>
                <w:sz w:val="20"/>
                <w:szCs w:val="20"/>
              </w:rPr>
            </w:pPr>
            <w:r w:rsidRPr="00A4529B">
              <w:rPr>
                <w:rFonts w:ascii="Times New Roman" w:hAnsi="Times New Roman" w:cs="Times New Roman"/>
                <w:sz w:val="20"/>
                <w:szCs w:val="20"/>
              </w:rPr>
              <w:t xml:space="preserve">PAC Meeting Date: </w:t>
            </w:r>
          </w:p>
        </w:tc>
        <w:tc>
          <w:tcPr>
            <w:tcW w:w="4622" w:type="dxa"/>
          </w:tcPr>
          <w:p w14:paraId="460431C7" w:rsidR="00A4529B" w:rsidRPr="00A4529B" w:rsidRDefault="00A4529B" w:rsidP="009C3E04">
            <w:pPr>
              <w:rPr>
                <w:rFonts w:ascii="Times New Roman" w:hAnsi="Times New Roman" w:cs="Times New Roman"/>
                <w:sz w:val="20"/>
                <w:szCs w:val="20"/>
              </w:rPr>
            </w:pPr>
          </w:p>
        </w:tc>
      </w:tr>
    </w:tbl>
    <w:p w14:paraId="258C35BB" w:rsidR="005D2CF4" w:rsidRDefault="005D2CF4" w:rsidP="009C3E04">
      <w:pPr>
        <w:pBdr>
          <w:bottom w:val="single" w:sz="4" w:space="1" w:color="auto"/>
        </w:pBdr>
        <w:spacing w:after="60" w:line="240" w:lineRule="auto"/>
        <w:rPr>
          <w:rFonts w:ascii="Arial" w:eastAsia="Times New Roman" w:hAnsi="Arial" w:cs="Arial"/>
          <w:sz w:val="18"/>
          <w:szCs w:val="18"/>
          <w:lang w:val="en-GB"/>
        </w:rPr>
      </w:pPr>
    </w:p>
    <w:p w14:paraId="6532F8BA" w:rsidR="00A4529B" w:rsidRDefault="00A4529B" w:rsidP="009C3E04">
      <w:pPr>
        <w:pBdr>
          <w:bottom w:val="single" w:sz="4" w:space="1" w:color="auto"/>
        </w:pBdr>
        <w:spacing w:after="60" w:line="240" w:lineRule="auto"/>
        <w:rPr>
          <w:rFonts w:ascii="Arial" w:eastAsia="Times New Roman" w:hAnsi="Arial" w:cs="Arial"/>
          <w:sz w:val="18"/>
          <w:szCs w:val="18"/>
          <w:lang w:val="en-GB"/>
        </w:rPr>
      </w:pPr>
    </w:p>
    <w:p w14:paraId="69B635B8" w:rsidR="00A4529B" w:rsidRDefault="00A4529B" w:rsidP="009C3E04">
      <w:pPr>
        <w:pBdr>
          <w:bottom w:val="single" w:sz="4" w:space="1" w:color="auto"/>
        </w:pBdr>
        <w:spacing w:after="60" w:line="240" w:lineRule="auto"/>
        <w:rPr>
          <w:rFonts w:ascii="Arial" w:eastAsia="Times New Roman" w:hAnsi="Arial" w:cs="Arial"/>
          <w:sz w:val="18"/>
          <w:szCs w:val="18"/>
          <w:lang w:val="en-GB"/>
        </w:rPr>
      </w:pPr>
    </w:p>
    <w:p w14:paraId="15805D35" w:rsidR="005D2CF4" w:rsidRDefault="005D2CF4" w:rsidP="009C3E04">
      <w:pPr>
        <w:pBdr>
          <w:bottom w:val="single" w:sz="4" w:space="1" w:color="auto"/>
        </w:pBdr>
        <w:spacing w:after="60" w:line="240" w:lineRule="auto"/>
        <w:rPr>
          <w:rFonts w:ascii="Arial" w:eastAsia="Times New Roman" w:hAnsi="Arial" w:cs="Arial"/>
          <w:sz w:val="18"/>
          <w:szCs w:val="18"/>
          <w:lang w:val="en-GB"/>
        </w:rPr>
      </w:pPr>
    </w:p>
    <w:p w14:paraId="00D1BA6F" w:rsidR="005D2CF4" w:rsidRPr="005D2CF4" w:rsidRDefault="005D2CF4" w:rsidP="009C3E04">
      <w:pPr>
        <w:pBdr>
          <w:bottom w:val="single" w:sz="4" w:space="1" w:color="auto"/>
        </w:pBdr>
        <w:spacing w:after="60" w:line="240" w:lineRule="auto"/>
        <w:rPr>
          <w:rFonts w:ascii="Arial" w:eastAsia="Times New Roman" w:hAnsi="Arial" w:cs="Arial"/>
          <w:i/>
          <w:sz w:val="18"/>
          <w:szCs w:val="18"/>
          <w:lang w:val="en-GB"/>
        </w:rPr>
      </w:pPr>
      <w:r w:rsidRPr="005D2CF4">
        <w:rPr>
          <w:rFonts w:ascii="Arial" w:hAnsi="Arial" w:eastAsia="Times New Roman" w:cs="Arial"/>
          <w:sz w:val="18"/>
          <w:szCs w:val="18"/>
          <w:lang w:val="en-GB"/>
        </w:rPr>
        <w:t xml:space="preserve">Agreed by (Government): </w:t>
      </w:r>
    </w:p>
    <w:p w14:paraId="106C4933" w:rsidR="005D2CF4" w:rsidRPr="005D2CF4" w:rsidRDefault="005D2CF4" w:rsidP="009C3E04">
      <w:pPr>
        <w:spacing w:after="60" w:line="240" w:lineRule="auto"/>
        <w:rPr>
          <w:rFonts w:ascii="Arial" w:eastAsia="Times New Roman" w:hAnsi="Arial" w:cs="Arial"/>
          <w:sz w:val="18"/>
          <w:szCs w:val="18"/>
          <w:lang w:val="en-GB"/>
        </w:rPr>
      </w:pPr>
      <w:r w:rsidRPr="005D2CF4">
        <w:rPr>
          <w:rFonts w:ascii="Arial" w:hAnsi="Arial" w:eastAsia="Times New Roman" w:cs="Arial"/>
          <w:sz w:val="18"/>
          <w:szCs w:val="18"/>
          <w:lang w:val="en-GB"/>
        </w:rPr>
        <w:t>Date/Month/Year</w:t>
      </w:r>
    </w:p>
    <w:p w14:paraId="595D7D97" w:rsidR="005D2CF4" w:rsidRPr="005D2CF4" w:rsidRDefault="005D2CF4" w:rsidP="009C3E04">
      <w:pPr>
        <w:spacing w:after="60" w:line="240" w:lineRule="auto"/>
        <w:rPr>
          <w:rFonts w:ascii="Arial" w:eastAsia="Times New Roman" w:hAnsi="Arial" w:cs="Arial"/>
          <w:sz w:val="18"/>
          <w:szCs w:val="18"/>
          <w:lang w:val="en-GB"/>
        </w:rPr>
      </w:pPr>
    </w:p>
    <w:p w14:paraId="42607EDD" w:rsidR="00A4529B" w:rsidRDefault="00A4529B" w:rsidP="009C3E04">
      <w:pPr>
        <w:pBdr>
          <w:bottom w:val="single" w:sz="4" w:space="1" w:color="auto"/>
        </w:pBdr>
        <w:spacing w:after="60" w:line="240" w:lineRule="auto"/>
        <w:rPr>
          <w:rFonts w:ascii="Arial" w:eastAsia="Times New Roman" w:hAnsi="Arial" w:cs="Arial"/>
          <w:sz w:val="18"/>
          <w:szCs w:val="18"/>
          <w:lang w:val="en-GB"/>
        </w:rPr>
      </w:pPr>
    </w:p>
    <w:p w14:paraId="4BC7A8B4" w:rsidR="005D2CF4" w:rsidRPr="005D2CF4" w:rsidRDefault="005D2CF4" w:rsidP="009C3E04">
      <w:pPr>
        <w:pBdr>
          <w:bottom w:val="single" w:sz="4" w:space="1" w:color="auto"/>
        </w:pBdr>
        <w:spacing w:after="60" w:line="240" w:lineRule="auto"/>
        <w:rPr>
          <w:rFonts w:ascii="Arial" w:eastAsia="Times New Roman" w:hAnsi="Arial" w:cs="Arial"/>
          <w:i/>
          <w:sz w:val="18"/>
          <w:szCs w:val="18"/>
          <w:lang w:val="en-GB"/>
        </w:rPr>
      </w:pPr>
      <w:r w:rsidRPr="005D2CF4">
        <w:rPr>
          <w:rFonts w:ascii="Arial" w:hAnsi="Arial" w:eastAsia="Times New Roman" w:cs="Arial"/>
          <w:sz w:val="18"/>
          <w:szCs w:val="18"/>
          <w:lang w:val="en-GB"/>
        </w:rPr>
        <w:t xml:space="preserve">Agreed by (Executing Entity/Implementing Partner): </w:t>
      </w:r>
    </w:p>
    <w:p w14:paraId="1E02A0E6" w:rsidR="005D2CF4" w:rsidRPr="005D2CF4" w:rsidRDefault="005D2CF4" w:rsidP="009C3E04">
      <w:pPr>
        <w:spacing w:after="60" w:line="240" w:lineRule="auto"/>
        <w:rPr>
          <w:rFonts w:ascii="Arial" w:eastAsia="Times New Roman" w:hAnsi="Arial" w:cs="Arial"/>
          <w:sz w:val="18"/>
          <w:szCs w:val="18"/>
          <w:lang w:val="en-GB"/>
        </w:rPr>
      </w:pPr>
      <w:r w:rsidRPr="005D2CF4">
        <w:rPr>
          <w:rFonts w:ascii="Arial" w:hAnsi="Arial" w:eastAsia="Times New Roman" w:cs="Arial"/>
          <w:sz w:val="18"/>
          <w:szCs w:val="18"/>
          <w:lang w:val="en-GB"/>
        </w:rPr>
        <w:t>Date/Month/Year</w:t>
      </w:r>
    </w:p>
    <w:p w14:paraId="67F07273" w:rsidR="00A4529B" w:rsidRDefault="00A4529B" w:rsidP="009C3E04">
      <w:pPr>
        <w:pBdr>
          <w:bottom w:val="single" w:sz="4" w:space="1" w:color="auto"/>
        </w:pBdr>
        <w:spacing w:after="60" w:line="240" w:lineRule="auto"/>
        <w:rPr>
          <w:rFonts w:ascii="Arial" w:eastAsia="Times New Roman" w:hAnsi="Arial" w:cs="Arial"/>
          <w:sz w:val="18"/>
          <w:szCs w:val="18"/>
          <w:lang w:val="en-GB"/>
        </w:rPr>
      </w:pPr>
    </w:p>
    <w:p w14:paraId="0D0BCE45" w:rsidR="00A4529B" w:rsidRDefault="00A4529B" w:rsidP="009C3E04">
      <w:pPr>
        <w:pBdr>
          <w:bottom w:val="single" w:sz="4" w:space="1" w:color="auto"/>
        </w:pBdr>
        <w:spacing w:after="60" w:line="240" w:lineRule="auto"/>
        <w:rPr>
          <w:rFonts w:ascii="Arial" w:eastAsia="Times New Roman" w:hAnsi="Arial" w:cs="Arial"/>
          <w:sz w:val="18"/>
          <w:szCs w:val="18"/>
          <w:lang w:val="en-GB"/>
        </w:rPr>
      </w:pPr>
    </w:p>
    <w:p w14:paraId="4EFB9806" w:rsidR="005D2CF4" w:rsidRPr="005D2CF4" w:rsidRDefault="005D2CF4" w:rsidP="009C3E04">
      <w:pPr>
        <w:pBdr>
          <w:bottom w:val="single" w:sz="4" w:space="1" w:color="auto"/>
        </w:pBdr>
        <w:spacing w:after="60" w:line="240" w:lineRule="auto"/>
        <w:rPr>
          <w:rFonts w:ascii="Arial" w:eastAsia="Times New Roman" w:hAnsi="Arial" w:cs="Arial"/>
          <w:sz w:val="18"/>
          <w:szCs w:val="18"/>
          <w:lang w:val="en-GB"/>
        </w:rPr>
      </w:pPr>
      <w:r w:rsidRPr="005D2CF4">
        <w:rPr>
          <w:rFonts w:ascii="Arial" w:hAnsi="Arial" w:eastAsia="Times New Roman" w:cs="Arial"/>
          <w:sz w:val="18"/>
          <w:szCs w:val="18"/>
          <w:lang w:val="en-GB"/>
        </w:rPr>
        <w:t xml:space="preserve">Agreed by (UNDP):  </w:t>
      </w:r>
    </w:p>
    <w:p w14:paraId="136D6D55" w:rsidR="005D2CF4" w:rsidRPr="005D2CF4" w:rsidRDefault="005D2CF4" w:rsidP="009C3E04">
      <w:pPr>
        <w:spacing w:after="60" w:line="240" w:lineRule="auto"/>
        <w:rPr>
          <w:rFonts w:ascii="Arial" w:eastAsia="Times New Roman" w:hAnsi="Arial" w:cs="Arial"/>
          <w:sz w:val="18"/>
          <w:szCs w:val="18"/>
          <w:lang w:val="en-GB"/>
        </w:rPr>
      </w:pPr>
      <w:r w:rsidRPr="005D2CF4">
        <w:rPr>
          <w:rFonts w:ascii="Arial" w:hAnsi="Arial" w:eastAsia="Times New Roman" w:cs="Arial"/>
          <w:sz w:val="18"/>
          <w:szCs w:val="18"/>
          <w:lang w:val="en-GB"/>
        </w:rPr>
        <w:t>Date/Month/Year</w:t>
      </w:r>
    </w:p>
    <w:p w14:paraId="1B6B7189" w:rsidR="005D2CF4" w:rsidRDefault="005D2CF4" w:rsidP="009C3E04">
      <w:pPr>
        <w:rPr>
          <w:rFonts w:ascii="Times New Roman" w:hAnsi="Times New Roman" w:cs="Times New Roman"/>
          <w:b/>
          <w:sz w:val="48"/>
          <w:szCs w:val="20"/>
        </w:rPr>
      </w:pPr>
      <w:r>
        <w:rPr>
          <w:rFonts w:ascii="Times New Roman" w:hAnsi="Times New Roman" w:cs="Times New Roman"/>
          <w:b/>
          <w:sz w:val="48"/>
          <w:szCs w:val="20"/>
        </w:rPr>
        <w:br w:type="page"/>
      </w:r>
    </w:p>
    <w:p w14:paraId="44A00027" w:rsidR="00133632" w:rsidRPr="00DC4545" w:rsidRDefault="00133632" w:rsidP="009C3E04">
      <w:pPr>
        <w:rPr>
          <w:rFonts w:ascii="Times New Roman" w:hAnsi="Times New Roman" w:cs="Times New Roman"/>
          <w:b/>
          <w:u w:val="single"/>
        </w:rPr>
      </w:pPr>
      <w:r w:rsidRPr="00DC4545">
        <w:rPr>
          <w:rFonts w:ascii="Times New Roman" w:hAnsi="Times New Roman" w:cs="Times New Roman"/>
          <w:b/>
          <w:u w:val="single"/>
        </w:rPr>
        <w:lastRenderedPageBreak/>
        <w:t>Acronyms</w:t>
      </w:r>
    </w:p>
    <w:p w14:paraId="1FFF09D3"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APR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Annual Project Report </w:t>
      </w:r>
    </w:p>
    <w:p w14:paraId="71395C72"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AR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Afforestation and Reforestation </w:t>
      </w:r>
    </w:p>
    <w:p w14:paraId="1FDF7794"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AUD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Avoided Unplanned Deforestation </w:t>
      </w:r>
    </w:p>
    <w:p w14:paraId="61F43A0C"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AWP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Annual Work Plan </w:t>
      </w:r>
    </w:p>
    <w:p w14:paraId="6C6A6885"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BD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Biodiversity </w:t>
      </w:r>
    </w:p>
    <w:p w14:paraId="4D8CE368"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BMPs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Best Management Practices </w:t>
      </w:r>
    </w:p>
    <w:p w14:paraId="6E73C56F"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CBD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Convention on Biological Diversity </w:t>
      </w:r>
    </w:p>
    <w:p w14:paraId="4970566C"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CC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Climate Change </w:t>
      </w:r>
    </w:p>
    <w:p w14:paraId="5E10CD00"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CCM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Climate Change Mitigation </w:t>
      </w:r>
    </w:p>
    <w:p w14:paraId="0A592D8F"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CSO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Civil Society Organization</w:t>
      </w:r>
    </w:p>
    <w:p w14:paraId="4B1B1640"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CBO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Community-based Organization</w:t>
      </w:r>
    </w:p>
    <w:p w14:paraId="542D7554"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EIA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Environmental Impact Assessment</w:t>
      </w:r>
    </w:p>
    <w:p w14:paraId="5C727EAE"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FFEM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French Fund for the Environment </w:t>
      </w:r>
    </w:p>
    <w:p w14:paraId="6684255E"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GEF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Global Environment Facility </w:t>
      </w:r>
    </w:p>
    <w:p w14:paraId="00A17EF7"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GHG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Green House Gas </w:t>
      </w:r>
    </w:p>
    <w:p w14:paraId="7F29D673"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GIS</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Geographical Information System </w:t>
      </w:r>
    </w:p>
    <w:p w14:paraId="3C9E3D69"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GRN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Government of Grenada </w:t>
      </w:r>
    </w:p>
    <w:p w14:paraId="008BB4AC"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GPS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Global Positioning System </w:t>
      </w:r>
    </w:p>
    <w:p w14:paraId="1CC2908E"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IPCC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Inter-Governmental Panel on Climate Change</w:t>
      </w:r>
    </w:p>
    <w:p w14:paraId="7F5B2C5F"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IUCN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International Union for the Conservation of Nature </w:t>
      </w:r>
    </w:p>
    <w:p w14:paraId="50C46F83" w:rsidR="004703D9"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LD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Land Degradation</w:t>
      </w:r>
    </w:p>
    <w:p w14:paraId="2D87FA2F" w:rsidR="00133632" w:rsidRPr="00DC4545" w:rsidRDefault="004703D9" w:rsidP="009C3E04">
      <w:pPr>
        <w:spacing w:after="0" w:line="240" w:lineRule="auto"/>
        <w:rPr>
          <w:rFonts w:ascii="Times New Roman" w:hAnsi="Times New Roman" w:cs="Times New Roman"/>
        </w:rPr>
      </w:pPr>
      <w:r>
        <w:rPr>
          <w:rFonts w:ascii="Times New Roman" w:hAnsi="Times New Roman" w:cs="Times New Roman"/>
        </w:rPr>
        <w:t>m.a.s.l.</w:t>
      </w:r>
      <w:r>
        <w:rPr>
          <w:rFonts w:ascii="Times New Roman" w:hAnsi="Times New Roman" w:cs="Times New Roman"/>
        </w:rPr>
        <w:tab/>
      </w:r>
      <w:r>
        <w:rPr>
          <w:rFonts w:ascii="Times New Roman" w:hAnsi="Times New Roman" w:cs="Times New Roman"/>
        </w:rPr>
        <w:tab/>
      </w:r>
      <w:r>
        <w:rPr>
          <w:rFonts w:ascii="Times New Roman" w:hAnsi="Times New Roman" w:cs="Times New Roman"/>
        </w:rPr>
        <w:t>Meters above sea-level</w:t>
      </w:r>
      <w:r w:rsidR="00133632" w:rsidRPr="00DC4545">
        <w:rPr>
          <w:rFonts w:ascii="Times New Roman" w:hAnsi="Times New Roman" w:cs="Times New Roman"/>
        </w:rPr>
        <w:t xml:space="preserve"> </w:t>
      </w:r>
    </w:p>
    <w:p w14:paraId="381FBCE8"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M&amp;E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Monitor and Evaluation </w:t>
      </w:r>
    </w:p>
    <w:p w14:paraId="251B1A8D"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LULUFC </w:t>
      </w:r>
      <w:r w:rsidRPr="00DC4545">
        <w:rPr>
          <w:rFonts w:ascii="Times New Roman" w:hAnsi="Times New Roman" w:cs="Times New Roman"/>
        </w:rPr>
        <w:tab/>
      </w:r>
      <w:r w:rsidRPr="00DC4545">
        <w:rPr>
          <w:rFonts w:ascii="Times New Roman" w:hAnsi="Times New Roman" w:cs="Times New Roman"/>
        </w:rPr>
        <w:t xml:space="preserve">Land Use, Land Use Change and Forestry  </w:t>
      </w:r>
    </w:p>
    <w:p w14:paraId="5E7FE9D0"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MoA</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Ministry of Agriculture </w:t>
      </w:r>
      <w:r w:rsidR="000F0B53">
        <w:rPr>
          <w:rFonts w:ascii="Times New Roman" w:hAnsi="Times New Roman" w:cs="Times New Roman"/>
        </w:rPr>
        <w:t xml:space="preserve">and the </w:t>
      </w:r>
      <w:r w:rsidR="00946A10">
        <w:rPr>
          <w:rFonts w:ascii="Times New Roman" w:hAnsi="Times New Roman" w:cs="Times New Roman"/>
        </w:rPr>
        <w:t>E</w:t>
      </w:r>
      <w:r w:rsidR="000F0B53">
        <w:rPr>
          <w:rFonts w:ascii="Times New Roman" w:hAnsi="Times New Roman" w:cs="Times New Roman"/>
        </w:rPr>
        <w:t>nvironmen</w:t>
      </w:r>
      <w:r w:rsidR="00946A10">
        <w:rPr>
          <w:rFonts w:ascii="Times New Roman" w:hAnsi="Times New Roman" w:cs="Times New Roman"/>
        </w:rPr>
        <w:t>t</w:t>
      </w:r>
    </w:p>
    <w:p w14:paraId="69B8B65D"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MCS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Monitor Control and Surveillance </w:t>
      </w:r>
    </w:p>
    <w:p w14:paraId="254D0302"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MMER </w:t>
      </w:r>
      <w:r w:rsidRPr="00DC4545">
        <w:rPr>
          <w:rFonts w:ascii="Times New Roman" w:hAnsi="Times New Roman" w:cs="Times New Roman"/>
        </w:rPr>
        <w:tab/>
      </w:r>
      <w:r w:rsidRPr="00DC4545">
        <w:rPr>
          <w:rFonts w:ascii="Times New Roman" w:hAnsi="Times New Roman" w:cs="Times New Roman"/>
        </w:rPr>
        <w:t xml:space="preserve">Monitor Measurement Evaluation and Response </w:t>
      </w:r>
    </w:p>
    <w:p w14:paraId="7F62E68F"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NGO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Non-Governmental Organization </w:t>
      </w:r>
    </w:p>
    <w:p w14:paraId="78B1BBFD"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PA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Protected Area </w:t>
      </w:r>
    </w:p>
    <w:p w14:paraId="133B50DD"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PC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Coordinator </w:t>
      </w:r>
    </w:p>
    <w:p w14:paraId="3B7D8076"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PD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Description </w:t>
      </w:r>
    </w:p>
    <w:p w14:paraId="23EA189C"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PIF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Identification Form </w:t>
      </w:r>
    </w:p>
    <w:p w14:paraId="6F92C946"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FSP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Full Size Project </w:t>
      </w:r>
    </w:p>
    <w:p w14:paraId="4E4734AE"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PIR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Implementation Review </w:t>
      </w:r>
    </w:p>
    <w:p w14:paraId="37B7E45A"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PIU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Implementation Unit </w:t>
      </w:r>
    </w:p>
    <w:p w14:paraId="26326CE4"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PPG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Preparation Grant </w:t>
      </w:r>
    </w:p>
    <w:p w14:paraId="6095E727"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PPP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Preparation Process </w:t>
      </w:r>
    </w:p>
    <w:p w14:paraId="7BFD72C4"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PSC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Project Steering Committee </w:t>
      </w:r>
    </w:p>
    <w:p w14:paraId="5999C941"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RBLAC </w:t>
      </w:r>
      <w:r w:rsidRPr="00DC4545">
        <w:rPr>
          <w:rFonts w:ascii="Times New Roman" w:hAnsi="Times New Roman" w:cs="Times New Roman"/>
        </w:rPr>
        <w:tab/>
      </w:r>
      <w:r w:rsidRPr="00DC4545">
        <w:rPr>
          <w:rFonts w:ascii="Times New Roman" w:hAnsi="Times New Roman" w:cs="Times New Roman"/>
        </w:rPr>
        <w:t xml:space="preserve">UNDP Regional Bureau </w:t>
      </w:r>
      <w:r w:rsidR="004703D9">
        <w:rPr>
          <w:rFonts w:ascii="Times New Roman" w:hAnsi="Times New Roman" w:cs="Times New Roman"/>
        </w:rPr>
        <w:t>for Latin America and the Caribbean</w:t>
      </w:r>
    </w:p>
    <w:p w14:paraId="57FF5252"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RCU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Regional Coordination Unit </w:t>
      </w:r>
    </w:p>
    <w:p w14:paraId="76BF334A"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REDD+</w:t>
      </w:r>
      <w:r w:rsidRPr="00DC4545">
        <w:rPr>
          <w:rFonts w:ascii="Times New Roman" w:hAnsi="Times New Roman" w:cs="Times New Roman"/>
        </w:rPr>
        <w:tab/>
      </w:r>
      <w:r w:rsidRPr="00DC4545">
        <w:rPr>
          <w:rFonts w:ascii="Times New Roman" w:hAnsi="Times New Roman" w:cs="Times New Roman"/>
        </w:rPr>
        <w:t>Reduction of Emission</w:t>
      </w:r>
      <w:r w:rsidR="004703D9">
        <w:rPr>
          <w:rFonts w:ascii="Times New Roman" w:hAnsi="Times New Roman" w:cs="Times New Roman"/>
        </w:rPr>
        <w:t>s</w:t>
      </w:r>
      <w:r w:rsidRPr="00DC4545">
        <w:rPr>
          <w:rFonts w:ascii="Times New Roman" w:hAnsi="Times New Roman" w:cs="Times New Roman"/>
        </w:rPr>
        <w:t xml:space="preserve"> from Deforestation and Degradation of Forests </w:t>
      </w:r>
    </w:p>
    <w:p w14:paraId="2045DF4C"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ROAR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Results Oriented Annual Report </w:t>
      </w:r>
    </w:p>
    <w:p w14:paraId="376F9034"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SFM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Sustainable Forestry Management </w:t>
      </w:r>
    </w:p>
    <w:p w14:paraId="76788CDF"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SLM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Sustainable Land Management </w:t>
      </w:r>
    </w:p>
    <w:p w14:paraId="455132F2"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SOP/P               Standard Operating Procedures and Practices</w:t>
      </w:r>
    </w:p>
    <w:p w14:paraId="05300843" w:rsidR="00CF134D" w:rsidRDefault="00CF134D" w:rsidP="009C3E04">
      <w:pPr>
        <w:spacing w:after="0" w:line="240" w:lineRule="auto"/>
        <w:rPr>
          <w:rFonts w:ascii="Times New Roman" w:hAnsi="Times New Roman" w:cs="Times New Roman"/>
        </w:rPr>
      </w:pPr>
      <w:r>
        <w:rPr>
          <w:rFonts w:ascii="Times New Roman" w:hAnsi="Times New Roman" w:cs="Times New Roman"/>
        </w:rPr>
        <w:t>SRO</w:t>
      </w:r>
      <w:r>
        <w:rPr>
          <w:rFonts w:ascii="Times New Roman" w:hAnsi="Times New Roman" w:cs="Times New Roman"/>
        </w:rPr>
        <w:tab/>
      </w:r>
      <w:r>
        <w:rPr>
          <w:rFonts w:ascii="Times New Roman" w:hAnsi="Times New Roman" w:cs="Times New Roman"/>
        </w:rPr>
        <w:tab/>
      </w:r>
      <w:r>
        <w:rPr>
          <w:rFonts w:ascii="Times New Roman" w:hAnsi="Times New Roman" w:cs="Times New Roman"/>
        </w:rPr>
        <w:t>Statutory Rules and Orders</w:t>
      </w:r>
    </w:p>
    <w:p w14:paraId="65EE002E"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TOR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 xml:space="preserve">Terms of Reference </w:t>
      </w:r>
    </w:p>
    <w:p w14:paraId="65438355" w:rsidR="00133632" w:rsidRPr="00DC4545" w:rsidRDefault="00133632" w:rsidP="009C3E04">
      <w:pPr>
        <w:spacing w:after="0" w:line="240" w:lineRule="auto"/>
        <w:rPr>
          <w:rFonts w:ascii="Times New Roman" w:hAnsi="Times New Roman" w:cs="Times New Roman"/>
        </w:rPr>
      </w:pPr>
      <w:r w:rsidRPr="00DC4545">
        <w:rPr>
          <w:rFonts w:ascii="Times New Roman" w:hAnsi="Times New Roman" w:cs="Times New Roman"/>
        </w:rPr>
        <w:t>UNCCD</w:t>
      </w:r>
      <w:r w:rsidRPr="00DC4545">
        <w:rPr>
          <w:rFonts w:ascii="Times New Roman" w:hAnsi="Times New Roman" w:cs="Times New Roman"/>
        </w:rPr>
        <w:tab/>
      </w:r>
      <w:r w:rsidRPr="00DC4545">
        <w:rPr>
          <w:rFonts w:ascii="Times New Roman" w:hAnsi="Times New Roman" w:cs="Times New Roman"/>
        </w:rPr>
        <w:t xml:space="preserve">United Nations Convention to Combat Desertification </w:t>
      </w:r>
    </w:p>
    <w:p w14:paraId="1D6121EF" w:rsidR="00937F07" w:rsidRDefault="00133632" w:rsidP="009C3E04">
      <w:pPr>
        <w:spacing w:after="0" w:line="240" w:lineRule="auto"/>
        <w:rPr>
          <w:rFonts w:ascii="Times New Roman" w:hAnsi="Times New Roman" w:cs="Times New Roman"/>
        </w:rPr>
      </w:pPr>
      <w:r w:rsidRPr="00DC4545">
        <w:rPr>
          <w:rFonts w:ascii="Times New Roman" w:hAnsi="Times New Roman" w:cs="Times New Roman"/>
        </w:rPr>
        <w:t xml:space="preserve">UNDP </w:t>
      </w:r>
      <w:r w:rsidRPr="00DC4545">
        <w:rPr>
          <w:rFonts w:ascii="Times New Roman" w:hAnsi="Times New Roman" w:cs="Times New Roman"/>
        </w:rPr>
        <w:tab/>
      </w:r>
      <w:r w:rsidRPr="00DC4545">
        <w:rPr>
          <w:rFonts w:ascii="Times New Roman" w:hAnsi="Times New Roman" w:cs="Times New Roman"/>
        </w:rPr>
        <w:tab/>
      </w:r>
      <w:r w:rsidRPr="00DC4545">
        <w:rPr>
          <w:rFonts w:ascii="Times New Roman" w:hAnsi="Times New Roman" w:cs="Times New Roman"/>
        </w:rPr>
        <w:t>United Nations Development Programme</w:t>
      </w:r>
      <w:r w:rsidRPr="00DC4545">
        <w:rPr>
          <w:rFonts w:ascii="Times New Roman" w:hAnsi="Times New Roman" w:cs="Times New Roman"/>
        </w:rPr>
        <w:br w:type="page"/>
      </w:r>
    </w:p>
    <w:sdt>
      <w:sdtPr>
        <w:rPr>
          <w:rFonts w:ascii="Times New Roman" w:eastAsia="Times New Roman" w:hAnsi="Times New Roman" w:cs="Times New Roman"/>
          <w:noProof/>
        </w:rPr>
        <w:id w:val="-262233413"/>
        <w:docPartObj>
          <w:docPartGallery w:val="Table of Contents"/>
          <w:docPartUnique/>
        </w:docPartObj>
      </w:sdtPr>
      <w:sdtEndPr>
        <w:rPr>
          <w:b/>
          <w:bCs/>
        </w:rPr>
      </w:sdtEndPr>
      <w:sdtContent>
        <w:p w14:paraId="68C69BFF" w:rsidR="00C64AFC" w:rsidRPr="007B6469" w:rsidRDefault="00C64AFC" w:rsidP="009C3E04">
          <w:pPr>
            <w:spacing w:after="0" w:line="240" w:lineRule="auto"/>
            <w:rPr>
              <w:rFonts w:ascii="Times New Roman" w:hAnsi="Times New Roman" w:cs="Times New Roman"/>
              <w:b/>
              <w:u w:val="single"/>
            </w:rPr>
          </w:pPr>
          <w:r w:rsidRPr="007B6469">
            <w:rPr>
              <w:rFonts w:ascii="Times New Roman" w:hAnsi="Times New Roman" w:cs="Times New Roman"/>
              <w:b/>
              <w:u w:val="single"/>
            </w:rPr>
            <w:t>Table of Contents</w:t>
          </w:r>
        </w:p>
        <w:p w14:paraId="506D90DB" w:rsidR="00191697" w:rsidRPr="00191697" w:rsidRDefault="00C64AFC">
          <w:pPr>
            <w:pStyle w:val="TOC1"/>
            <w:rPr>
              <w:rFonts w:eastAsiaTheme="minorEastAsia"/>
            </w:rPr>
          </w:pPr>
          <w:r w:rsidRPr="007B6469">
            <w:fldChar w:fldCharType="begin"/>
          </w:r>
          <w:r w:rsidRPr="007B6469">
            <w:instrText xml:space="preserve"> TOC \o "1-3" \h \z \u </w:instrText>
          </w:r>
          <w:r w:rsidRPr="007B6469">
            <w:fldChar w:fldCharType="separate"/>
          </w:r>
          <w:hyperlink w:anchor="_Toc389820946" w:history="1">
            <w:r w:rsidR="00191697" w:rsidRPr="00191697">
              <w:rPr>
                <w:rStyle w:val="Hyperlink"/>
              </w:rPr>
              <w:t>SECTION I: ELABORATION OF THE NARRATIVE</w:t>
            </w:r>
            <w:r w:rsidR="00191697" w:rsidRPr="00191697">
              <w:rPr>
                <w:webHidden/>
              </w:rPr>
              <w:tab/>
            </w:r>
            <w:r w:rsidR="00191697" w:rsidRPr="00191697">
              <w:rPr>
                <w:webHidden/>
              </w:rPr>
              <w:fldChar w:fldCharType="begin"/>
            </w:r>
            <w:r w:rsidR="00191697" w:rsidRPr="00191697">
              <w:rPr>
                <w:webHidden/>
              </w:rPr>
              <w:instrText xml:space="preserve"> PAGEREF _Toc389820946 \h </w:instrText>
            </w:r>
            <w:r w:rsidR="00191697" w:rsidRPr="00191697">
              <w:rPr>
                <w:webHidden/>
              </w:rPr>
            </w:r>
            <w:r w:rsidR="00191697" w:rsidRPr="00191697">
              <w:rPr>
                <w:webHidden/>
              </w:rPr>
              <w:fldChar w:fldCharType="separate"/>
            </w:r>
            <w:r w:rsidR="001571FA">
              <w:rPr>
                <w:webHidden/>
              </w:rPr>
              <w:t>6</w:t>
            </w:r>
            <w:r w:rsidR="00191697" w:rsidRPr="00191697">
              <w:rPr>
                <w:webHidden/>
              </w:rPr>
              <w:fldChar w:fldCharType="end"/>
            </w:r>
          </w:hyperlink>
        </w:p>
        <w:p w14:paraId="4E6FE35A" w:rsidR="00191697" w:rsidRPr="00191697" w:rsidRDefault="00F050A3">
          <w:pPr>
            <w:pStyle w:val="TOC1"/>
            <w:rPr>
              <w:rFonts w:eastAsiaTheme="minorEastAsia"/>
            </w:rPr>
          </w:pPr>
          <w:hyperlink w:anchor="_Toc389820947" w:history="1">
            <w:r w:rsidR="00191697" w:rsidRPr="00191697">
              <w:rPr>
                <w:rStyle w:val="Hyperlink"/>
              </w:rPr>
              <w:t>PART 1: SITUATION ANALYSIS</w:t>
            </w:r>
            <w:r w:rsidR="00191697" w:rsidRPr="00191697">
              <w:rPr>
                <w:webHidden/>
              </w:rPr>
              <w:tab/>
            </w:r>
            <w:r w:rsidR="00191697" w:rsidRPr="00191697">
              <w:rPr>
                <w:webHidden/>
              </w:rPr>
              <w:fldChar w:fldCharType="begin"/>
            </w:r>
            <w:r w:rsidR="00191697" w:rsidRPr="00191697">
              <w:rPr>
                <w:webHidden/>
              </w:rPr>
              <w:instrText xml:space="preserve"> PAGEREF _Toc389820947 \h </w:instrText>
            </w:r>
            <w:r w:rsidR="00191697" w:rsidRPr="00191697">
              <w:rPr>
                <w:webHidden/>
              </w:rPr>
            </w:r>
            <w:r w:rsidR="00191697" w:rsidRPr="00191697">
              <w:rPr>
                <w:webHidden/>
              </w:rPr>
              <w:fldChar w:fldCharType="separate"/>
            </w:r>
            <w:r w:rsidR="001571FA">
              <w:rPr>
                <w:webHidden/>
              </w:rPr>
              <w:t>6</w:t>
            </w:r>
            <w:r w:rsidR="00191697" w:rsidRPr="00191697">
              <w:rPr>
                <w:webHidden/>
              </w:rPr>
              <w:fldChar w:fldCharType="end"/>
            </w:r>
          </w:hyperlink>
        </w:p>
        <w:p w14:paraId="76AADCC6" w:rsidR="00191697" w:rsidRPr="00191697" w:rsidRDefault="00F050A3">
          <w:pPr>
            <w:pStyle w:val="TOC2"/>
            <w:rPr>
              <w:rFonts w:ascii="Times New Roman" w:hAnsi="Times New Roman" w:cs="Times New Roman"/>
              <w:noProof/>
            </w:rPr>
          </w:pPr>
          <w:hyperlink w:anchor="_Toc389820948" w:history="1">
            <w:r w:rsidR="00191697" w:rsidRPr="00191697">
              <w:rPr>
                <w:rStyle w:val="Hyperlink"/>
                <w:rFonts w:ascii="Times New Roman" w:hAnsi="Times New Roman" w:cs="Times New Roman"/>
                <w:noProof/>
              </w:rPr>
              <w:t>1. A: CONTEXT AND GLOBAL SIGNIFICANCE</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_Toc389820948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6</w:t>
            </w:r>
            <w:r w:rsidR="00191697" w:rsidRPr="00191697">
              <w:rPr>
                <w:rFonts w:ascii="Times New Roman" w:hAnsi="Times New Roman" w:cs="Times New Roman"/>
                <w:noProof/>
                <w:webHidden/>
              </w:rPr>
              <w:fldChar w:fldCharType="end"/>
            </w:r>
          </w:hyperlink>
        </w:p>
        <w:p w14:paraId="1C104529" w:rsidR="00191697" w:rsidRPr="00191697" w:rsidRDefault="00F050A3">
          <w:pPr>
            <w:pStyle w:val="TOC3"/>
            <w:tabs>
              <w:tab w:val="right" w:leader="dot" w:pos="9350"/>
            </w:tabs>
            <w:rPr>
              <w:rFonts w:ascii="Times New Roman" w:hAnsi="Times New Roman" w:cs="Times New Roman"/>
              <w:noProof/>
            </w:rPr>
          </w:pPr>
          <w:hyperlink w:anchor="_Toc389820949" w:history="1">
            <w:r w:rsidR="00191697" w:rsidRPr="00191697">
              <w:rPr>
                <w:rStyle w:val="Hyperlink"/>
                <w:rFonts w:ascii="Times New Roman" w:hAnsi="Times New Roman" w:cs="Times New Roman"/>
                <w:noProof/>
              </w:rPr>
              <w:t>1.A.1 Environmental Context</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_Toc389820949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6</w:t>
            </w:r>
            <w:r w:rsidR="00191697" w:rsidRPr="00191697">
              <w:rPr>
                <w:rFonts w:ascii="Times New Roman" w:hAnsi="Times New Roman" w:cs="Times New Roman"/>
                <w:noProof/>
                <w:webHidden/>
              </w:rPr>
              <w:fldChar w:fldCharType="end"/>
            </w:r>
          </w:hyperlink>
        </w:p>
        <w:p w14:paraId="73DB90A3" w:rsidR="00191697" w:rsidRPr="00191697" w:rsidRDefault="00F050A3">
          <w:pPr>
            <w:pStyle w:val="TOC3"/>
            <w:tabs>
              <w:tab w:val="right" w:leader="dot" w:pos="9350"/>
            </w:tabs>
            <w:rPr>
              <w:rFonts w:ascii="Times New Roman" w:hAnsi="Times New Roman" w:cs="Times New Roman"/>
              <w:noProof/>
            </w:rPr>
          </w:pPr>
          <w:hyperlink w:anchor="_Toc389820950" w:history="1">
            <w:r w:rsidR="00191697" w:rsidRPr="00191697">
              <w:rPr>
                <w:rStyle w:val="Hyperlink"/>
                <w:rFonts w:ascii="Times New Roman" w:hAnsi="Times New Roman" w:cs="Times New Roman"/>
                <w:noProof/>
              </w:rPr>
              <w:t>1.A.2 Ecosystem Functions and Uses: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_Toc389820950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10</w:t>
            </w:r>
            <w:r w:rsidR="00191697" w:rsidRPr="00191697">
              <w:rPr>
                <w:rFonts w:ascii="Times New Roman" w:hAnsi="Times New Roman" w:cs="Times New Roman"/>
                <w:noProof/>
                <w:webHidden/>
              </w:rPr>
              <w:fldChar w:fldCharType="end"/>
            </w:r>
          </w:hyperlink>
        </w:p>
        <w:p w14:paraId="72770FA3" w:rsidR="00191697" w:rsidRPr="00191697" w:rsidRDefault="00F050A3">
          <w:pPr>
            <w:pStyle w:val="TOC3"/>
            <w:tabs>
              <w:tab w:val="right" w:leader="dot" w:pos="9350"/>
            </w:tabs>
            <w:rPr>
              <w:rFonts w:ascii="Times New Roman" w:hAnsi="Times New Roman" w:cs="Times New Roman"/>
              <w:noProof/>
            </w:rPr>
          </w:pPr>
          <w:hyperlink w:anchor="_Toc389820951" w:history="1">
            <w:r w:rsidR="00191697" w:rsidRPr="00191697">
              <w:rPr>
                <w:rStyle w:val="Hyperlink"/>
                <w:rFonts w:ascii="Times New Roman" w:hAnsi="Times New Roman" w:cs="Times New Roman"/>
                <w:noProof/>
              </w:rPr>
              <w:t>1.A.3 Protected Areas in Grenada</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_Toc389820951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11</w:t>
            </w:r>
            <w:r w:rsidR="00191697" w:rsidRPr="00191697">
              <w:rPr>
                <w:rFonts w:ascii="Times New Roman" w:hAnsi="Times New Roman" w:cs="Times New Roman"/>
                <w:noProof/>
                <w:webHidden/>
              </w:rPr>
              <w:fldChar w:fldCharType="end"/>
            </w:r>
          </w:hyperlink>
        </w:p>
        <w:p w14:paraId="39199F8A" w:rsidR="00191697" w:rsidRPr="00191697" w:rsidRDefault="00F050A3">
          <w:pPr>
            <w:pStyle w:val="TOC3"/>
            <w:tabs>
              <w:tab w:val="right" w:leader="dot" w:pos="9350"/>
            </w:tabs>
            <w:rPr>
              <w:rFonts w:ascii="Times New Roman" w:hAnsi="Times New Roman" w:cs="Times New Roman"/>
              <w:noProof/>
            </w:rPr>
          </w:pPr>
          <w:hyperlink w:anchor="_Toc389820952" w:history="1">
            <w:r w:rsidR="00191697" w:rsidRPr="00191697">
              <w:rPr>
                <w:rStyle w:val="Hyperlink"/>
                <w:rFonts w:ascii="Times New Roman" w:hAnsi="Times New Roman" w:cs="Times New Roman"/>
                <w:noProof/>
              </w:rPr>
              <w:t>1.A.4 Socioeconomic Context</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_Toc389820952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14</w:t>
            </w:r>
            <w:r w:rsidR="00191697" w:rsidRPr="00191697">
              <w:rPr>
                <w:rFonts w:ascii="Times New Roman" w:hAnsi="Times New Roman" w:cs="Times New Roman"/>
                <w:noProof/>
                <w:webHidden/>
              </w:rPr>
              <w:fldChar w:fldCharType="end"/>
            </w:r>
          </w:hyperlink>
        </w:p>
        <w:p w14:paraId="7AC45D06" w:rsidR="00191697" w:rsidRPr="00191697" w:rsidRDefault="00F050A3">
          <w:pPr>
            <w:pStyle w:val="TOC3"/>
            <w:tabs>
              <w:tab w:val="right" w:leader="dot" w:pos="9350"/>
            </w:tabs>
            <w:rPr>
              <w:rFonts w:ascii="Times New Roman" w:hAnsi="Times New Roman" w:cs="Times New Roman"/>
              <w:noProof/>
            </w:rPr>
          </w:pPr>
          <w:hyperlink w:anchor="_Toc389820953" w:history="1">
            <w:r w:rsidR="00191697" w:rsidRPr="00191697">
              <w:rPr>
                <w:rStyle w:val="Hyperlink"/>
                <w:rFonts w:ascii="Times New Roman" w:hAnsi="Times New Roman" w:cs="Times New Roman"/>
                <w:noProof/>
              </w:rPr>
              <w:t>1.A.5. Legal /Institutional Context</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_Toc389820953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16</w:t>
            </w:r>
            <w:r w:rsidR="00191697" w:rsidRPr="00191697">
              <w:rPr>
                <w:rFonts w:ascii="Times New Roman" w:hAnsi="Times New Roman" w:cs="Times New Roman"/>
                <w:noProof/>
                <w:webHidden/>
              </w:rPr>
              <w:fldChar w:fldCharType="end"/>
            </w:r>
          </w:hyperlink>
        </w:p>
        <w:p w14:paraId="0374503C" w:rsidR="00191697" w:rsidRPr="00191697" w:rsidRDefault="00F050A3">
          <w:pPr>
            <w:pStyle w:val="TOC2"/>
            <w:rPr>
              <w:rFonts w:ascii="Times New Roman" w:hAnsi="Times New Roman" w:cs="Times New Roman"/>
              <w:noProof/>
            </w:rPr>
          </w:pPr>
          <w:hyperlink w:anchor="_Toc389820954" w:history="1">
            <w:r w:rsidR="00191697" w:rsidRPr="00191697">
              <w:rPr>
                <w:rStyle w:val="Hyperlink"/>
                <w:rFonts w:ascii="Times New Roman" w:hAnsi="Times New Roman" w:cs="Times New Roman"/>
                <w:noProof/>
              </w:rPr>
              <w:t>Part I B Baseline Analysis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_Toc389820954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18</w:t>
            </w:r>
            <w:r w:rsidR="00191697" w:rsidRPr="00191697">
              <w:rPr>
                <w:rFonts w:ascii="Times New Roman" w:hAnsi="Times New Roman" w:cs="Times New Roman"/>
                <w:noProof/>
                <w:webHidden/>
              </w:rPr>
              <w:fldChar w:fldCharType="end"/>
            </w:r>
          </w:hyperlink>
        </w:p>
        <w:p w14:paraId="02B1B228" w:rsidR="00191697" w:rsidRPr="00191697" w:rsidRDefault="00F050A3">
          <w:pPr>
            <w:pStyle w:val="TOC3"/>
            <w:tabs>
              <w:tab w:val="right" w:leader="dot" w:pos="9350"/>
            </w:tabs>
            <w:rPr>
              <w:rFonts w:ascii="Times New Roman" w:hAnsi="Times New Roman" w:cs="Times New Roman"/>
              <w:noProof/>
            </w:rPr>
          </w:pPr>
          <w:hyperlink w:anchor="_Toc389820955" w:history="1">
            <w:r w:rsidR="00191697" w:rsidRPr="00191697">
              <w:rPr>
                <w:rStyle w:val="Hyperlink"/>
                <w:rFonts w:ascii="Times New Roman" w:hAnsi="Times New Roman" w:cs="Times New Roman"/>
                <w:noProof/>
              </w:rPr>
              <w:t>1.B.1. Threats to Biodiversity &amp; Ecosystem Services: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_Toc389820955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18</w:t>
            </w:r>
            <w:r w:rsidR="00191697" w:rsidRPr="00191697">
              <w:rPr>
                <w:rFonts w:ascii="Times New Roman" w:hAnsi="Times New Roman" w:cs="Times New Roman"/>
                <w:noProof/>
                <w:webHidden/>
              </w:rPr>
              <w:fldChar w:fldCharType="end"/>
            </w:r>
          </w:hyperlink>
        </w:p>
        <w:p w14:paraId="283FE066" w:rsidR="00191697" w:rsidRPr="00191697" w:rsidRDefault="00F050A3">
          <w:pPr>
            <w:pStyle w:val="TOC3"/>
            <w:tabs>
              <w:tab w:val="right" w:leader="dot" w:pos="9350"/>
            </w:tabs>
            <w:rPr>
              <w:rFonts w:ascii="Times New Roman" w:hAnsi="Times New Roman" w:cs="Times New Roman"/>
              <w:noProof/>
            </w:rPr>
          </w:pPr>
          <w:hyperlink w:anchor="_Toc389820956" w:history="1">
            <w:r w:rsidR="00191697" w:rsidRPr="00191697">
              <w:rPr>
                <w:rStyle w:val="Hyperlink"/>
                <w:rFonts w:ascii="Times New Roman" w:hAnsi="Times New Roman" w:cs="Times New Roman"/>
                <w:noProof/>
              </w:rPr>
              <w:t>1.B.2. Direct and Underlying Causes of Loss of Biodiversity: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_Toc389820956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22</w:t>
            </w:r>
            <w:r w:rsidR="00191697" w:rsidRPr="00191697">
              <w:rPr>
                <w:rFonts w:ascii="Times New Roman" w:hAnsi="Times New Roman" w:cs="Times New Roman"/>
                <w:noProof/>
                <w:webHidden/>
              </w:rPr>
              <w:fldChar w:fldCharType="end"/>
            </w:r>
          </w:hyperlink>
        </w:p>
        <w:p w14:paraId="6F10DEDF" w:rsidR="00191697" w:rsidRPr="00191697" w:rsidRDefault="00F050A3">
          <w:pPr>
            <w:pStyle w:val="TOC3"/>
            <w:tabs>
              <w:tab w:val="right" w:leader="dot" w:pos="9350"/>
            </w:tabs>
            <w:rPr>
              <w:rFonts w:ascii="Times New Roman" w:hAnsi="Times New Roman" w:cs="Times New Roman"/>
              <w:noProof/>
            </w:rPr>
          </w:pPr>
          <w:hyperlink w:anchor="_Toc389820957" w:history="1">
            <w:r w:rsidR="00191697" w:rsidRPr="00191697">
              <w:rPr>
                <w:rStyle w:val="Hyperlink"/>
                <w:rFonts w:ascii="Times New Roman" w:hAnsi="Times New Roman" w:cs="Times New Roman"/>
                <w:noProof/>
              </w:rPr>
              <w:t>1.B.3. Long Term Solution:</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_Toc389820957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23</w:t>
            </w:r>
            <w:r w:rsidR="00191697" w:rsidRPr="00191697">
              <w:rPr>
                <w:rFonts w:ascii="Times New Roman" w:hAnsi="Times New Roman" w:cs="Times New Roman"/>
                <w:noProof/>
                <w:webHidden/>
              </w:rPr>
              <w:fldChar w:fldCharType="end"/>
            </w:r>
          </w:hyperlink>
        </w:p>
        <w:p w14:paraId="50BE9A6E" w:rsidR="00191697" w:rsidRPr="00191697" w:rsidRDefault="00F050A3">
          <w:pPr>
            <w:pStyle w:val="TOC3"/>
            <w:tabs>
              <w:tab w:val="right" w:leader="dot" w:pos="9350"/>
            </w:tabs>
            <w:rPr>
              <w:rFonts w:ascii="Times New Roman" w:hAnsi="Times New Roman" w:cs="Times New Roman"/>
              <w:noProof/>
            </w:rPr>
          </w:pPr>
          <w:hyperlink w:anchor="_Toc389820958" w:history="1">
            <w:r w:rsidR="00191697" w:rsidRPr="00191697">
              <w:rPr>
                <w:rStyle w:val="Hyperlink"/>
                <w:rFonts w:ascii="Times New Roman" w:hAnsi="Times New Roman" w:cs="Times New Roman"/>
                <w:noProof/>
              </w:rPr>
              <w:t>1.B.4. Barrier Analysis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_Toc389820958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24</w:t>
            </w:r>
            <w:r w:rsidR="00191697" w:rsidRPr="00191697">
              <w:rPr>
                <w:rFonts w:ascii="Times New Roman" w:hAnsi="Times New Roman" w:cs="Times New Roman"/>
                <w:noProof/>
                <w:webHidden/>
              </w:rPr>
              <w:fldChar w:fldCharType="end"/>
            </w:r>
          </w:hyperlink>
        </w:p>
        <w:p w14:paraId="4AD57C23" w:rsidR="00191697" w:rsidRPr="00191697" w:rsidRDefault="00F050A3">
          <w:pPr>
            <w:pStyle w:val="TOC3"/>
            <w:tabs>
              <w:tab w:val="right" w:leader="dot" w:pos="9350"/>
            </w:tabs>
            <w:rPr>
              <w:rFonts w:ascii="Times New Roman" w:hAnsi="Times New Roman" w:cs="Times New Roman"/>
              <w:noProof/>
            </w:rPr>
          </w:pPr>
          <w:hyperlink w:anchor="_Toc389820959" w:history="1">
            <w:r w:rsidR="00191697" w:rsidRPr="00191697">
              <w:rPr>
                <w:rStyle w:val="Hyperlink"/>
                <w:rFonts w:ascii="Times New Roman" w:hAnsi="Times New Roman" w:cs="Times New Roman"/>
                <w:noProof/>
              </w:rPr>
              <w:t>1.B.5. Stakeholder Analysis: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_Toc389820959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26</w:t>
            </w:r>
            <w:r w:rsidR="00191697" w:rsidRPr="00191697">
              <w:rPr>
                <w:rFonts w:ascii="Times New Roman" w:hAnsi="Times New Roman" w:cs="Times New Roman"/>
                <w:noProof/>
                <w:webHidden/>
              </w:rPr>
              <w:fldChar w:fldCharType="end"/>
            </w:r>
          </w:hyperlink>
        </w:p>
        <w:p w14:paraId="4EDBAD18" w:rsidR="00191697" w:rsidRPr="00191697" w:rsidRDefault="00F050A3">
          <w:pPr>
            <w:pStyle w:val="TOC1"/>
            <w:rPr>
              <w:rFonts w:eastAsiaTheme="minorEastAsia"/>
            </w:rPr>
          </w:pPr>
          <w:hyperlink w:anchor="_Toc389820960" w:history="1">
            <w:r w:rsidR="00191697" w:rsidRPr="00191697">
              <w:rPr>
                <w:rStyle w:val="Hyperlink"/>
              </w:rPr>
              <w:t>PART 2: PROJECT STRATEGY</w:t>
            </w:r>
            <w:r w:rsidR="00191697" w:rsidRPr="00191697">
              <w:rPr>
                <w:webHidden/>
              </w:rPr>
              <w:tab/>
            </w:r>
            <w:r w:rsidR="00191697" w:rsidRPr="00191697">
              <w:rPr>
                <w:webHidden/>
              </w:rPr>
              <w:fldChar w:fldCharType="begin"/>
            </w:r>
            <w:r w:rsidR="00191697" w:rsidRPr="00191697">
              <w:rPr>
                <w:webHidden/>
              </w:rPr>
              <w:instrText xml:space="preserve"> PAGEREF _Toc389820960 \h </w:instrText>
            </w:r>
            <w:r w:rsidR="00191697" w:rsidRPr="00191697">
              <w:rPr>
                <w:webHidden/>
              </w:rPr>
            </w:r>
            <w:r w:rsidR="00191697" w:rsidRPr="00191697">
              <w:rPr>
                <w:webHidden/>
              </w:rPr>
              <w:fldChar w:fldCharType="separate"/>
            </w:r>
            <w:r w:rsidR="001571FA">
              <w:rPr>
                <w:webHidden/>
              </w:rPr>
              <w:t>29</w:t>
            </w:r>
            <w:r w:rsidR="00191697" w:rsidRPr="00191697">
              <w:rPr>
                <w:webHidden/>
              </w:rPr>
              <w:fldChar w:fldCharType="end"/>
            </w:r>
          </w:hyperlink>
        </w:p>
        <w:p w14:paraId="2730FDA4" w:rsidR="00191697" w:rsidRPr="00191697" w:rsidRDefault="00F050A3">
          <w:pPr>
            <w:pStyle w:val="TOC2"/>
            <w:rPr>
              <w:rFonts w:ascii="Times New Roman" w:hAnsi="Times New Roman" w:cs="Times New Roman"/>
              <w:noProof/>
            </w:rPr>
          </w:pPr>
          <w:hyperlink w:anchor="_Toc389820961" w:history="1">
            <w:r w:rsidR="00191697" w:rsidRPr="00191697">
              <w:rPr>
                <w:rStyle w:val="Hyperlink"/>
                <w:rFonts w:ascii="Times New Roman" w:hAnsi="Times New Roman" w:cs="Times New Roman"/>
                <w:noProof/>
              </w:rPr>
              <w:t>2.1 Project rationale and policy conformity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_Toc389820961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29</w:t>
            </w:r>
            <w:r w:rsidR="00191697" w:rsidRPr="00191697">
              <w:rPr>
                <w:rFonts w:ascii="Times New Roman" w:hAnsi="Times New Roman" w:cs="Times New Roman"/>
                <w:noProof/>
                <w:webHidden/>
              </w:rPr>
              <w:fldChar w:fldCharType="end"/>
            </w:r>
          </w:hyperlink>
        </w:p>
        <w:p w14:paraId="649AAC0D" w:rsidR="00191697" w:rsidRPr="00191697" w:rsidRDefault="00F050A3">
          <w:pPr>
            <w:pStyle w:val="TOC2"/>
            <w:rPr>
              <w:rFonts w:ascii="Times New Roman" w:hAnsi="Times New Roman" w:cs="Times New Roman"/>
              <w:noProof/>
            </w:rPr>
          </w:pPr>
          <w:hyperlink w:anchor="_Toc389820962" w:history="1">
            <w:r w:rsidR="00191697" w:rsidRPr="00191697">
              <w:rPr>
                <w:rStyle w:val="Hyperlink"/>
                <w:rFonts w:ascii="Times New Roman" w:hAnsi="Times New Roman" w:cs="Times New Roman"/>
                <w:noProof/>
              </w:rPr>
              <w:t>2.2. Country ownership:  Country eligibility and responsibility.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_Toc389820962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30</w:t>
            </w:r>
            <w:r w:rsidR="00191697" w:rsidRPr="00191697">
              <w:rPr>
                <w:rFonts w:ascii="Times New Roman" w:hAnsi="Times New Roman" w:cs="Times New Roman"/>
                <w:noProof/>
                <w:webHidden/>
              </w:rPr>
              <w:fldChar w:fldCharType="end"/>
            </w:r>
          </w:hyperlink>
        </w:p>
        <w:p w14:paraId="0E2B4A00" w:rsidR="00191697" w:rsidRPr="00191697" w:rsidRDefault="00F050A3">
          <w:pPr>
            <w:pStyle w:val="TOC2"/>
            <w:rPr>
              <w:rFonts w:ascii="Times New Roman" w:hAnsi="Times New Roman" w:cs="Times New Roman"/>
              <w:noProof/>
            </w:rPr>
          </w:pPr>
          <w:hyperlink w:anchor="_Toc389820963" w:history="1">
            <w:r w:rsidR="00191697" w:rsidRPr="00191697">
              <w:rPr>
                <w:rStyle w:val="Hyperlink"/>
                <w:rFonts w:ascii="Times New Roman" w:hAnsi="Times New Roman" w:cs="Times New Roman"/>
                <w:noProof/>
              </w:rPr>
              <w:t>2.3 Design principles and Strategic considerations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_Toc389820963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31</w:t>
            </w:r>
            <w:r w:rsidR="00191697" w:rsidRPr="00191697">
              <w:rPr>
                <w:rFonts w:ascii="Times New Roman" w:hAnsi="Times New Roman" w:cs="Times New Roman"/>
                <w:noProof/>
                <w:webHidden/>
              </w:rPr>
              <w:fldChar w:fldCharType="end"/>
            </w:r>
          </w:hyperlink>
        </w:p>
        <w:p w14:paraId="2ECC4104" w:rsidR="00191697" w:rsidRPr="00191697" w:rsidRDefault="00F050A3">
          <w:pPr>
            <w:pStyle w:val="TOC2"/>
            <w:rPr>
              <w:rFonts w:ascii="Times New Roman" w:hAnsi="Times New Roman" w:cs="Times New Roman"/>
              <w:noProof/>
            </w:rPr>
          </w:pPr>
          <w:hyperlink w:anchor="_Toc389820966" w:history="1">
            <w:r w:rsidR="00191697" w:rsidRPr="00191697">
              <w:rPr>
                <w:rStyle w:val="Hyperlink"/>
                <w:rFonts w:ascii="Times New Roman" w:hAnsi="Times New Roman" w:cs="Times New Roman"/>
                <w:noProof/>
              </w:rPr>
              <w:t>2.4. Project Objectives, Outcomes and Outputs and Activities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_Toc389820966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33</w:t>
            </w:r>
            <w:r w:rsidR="00191697" w:rsidRPr="00191697">
              <w:rPr>
                <w:rFonts w:ascii="Times New Roman" w:hAnsi="Times New Roman" w:cs="Times New Roman"/>
                <w:noProof/>
                <w:webHidden/>
              </w:rPr>
              <w:fldChar w:fldCharType="end"/>
            </w:r>
          </w:hyperlink>
        </w:p>
        <w:p w14:paraId="5A6F1212" w:rsidR="00191697" w:rsidRPr="00191697" w:rsidRDefault="00F050A3">
          <w:pPr>
            <w:pStyle w:val="TOC2"/>
            <w:rPr>
              <w:rFonts w:ascii="Times New Roman" w:hAnsi="Times New Roman" w:cs="Times New Roman"/>
              <w:noProof/>
            </w:rPr>
          </w:pPr>
          <w:hyperlink w:anchor="_Toc389820968" w:history="1">
            <w:r w:rsidR="00191697" w:rsidRPr="00191697">
              <w:rPr>
                <w:rStyle w:val="Hyperlink"/>
                <w:rFonts w:ascii="Times New Roman" w:hAnsi="Times New Roman" w:cs="Times New Roman"/>
                <w:noProof/>
              </w:rPr>
              <w:t>2.5 Key Project Indicators, Risks and Assumptions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_Toc389820968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52</w:t>
            </w:r>
            <w:r w:rsidR="00191697" w:rsidRPr="00191697">
              <w:rPr>
                <w:rFonts w:ascii="Times New Roman" w:hAnsi="Times New Roman" w:cs="Times New Roman"/>
                <w:noProof/>
                <w:webHidden/>
              </w:rPr>
              <w:fldChar w:fldCharType="end"/>
            </w:r>
          </w:hyperlink>
        </w:p>
        <w:p w14:paraId="1E93EF4C" w:rsidR="00191697" w:rsidRPr="00191697" w:rsidRDefault="00F050A3">
          <w:pPr>
            <w:pStyle w:val="TOC2"/>
            <w:rPr>
              <w:rFonts w:ascii="Times New Roman" w:hAnsi="Times New Roman" w:cs="Times New Roman"/>
              <w:noProof/>
            </w:rPr>
          </w:pPr>
          <w:hyperlink w:anchor="_Toc389820969" w:history="1">
            <w:r w:rsidR="00191697" w:rsidRPr="00191697">
              <w:rPr>
                <w:rStyle w:val="Hyperlink"/>
                <w:rFonts w:ascii="Times New Roman" w:hAnsi="Times New Roman" w:cs="Times New Roman"/>
                <w:noProof/>
              </w:rPr>
              <w:t>2.6 Financial Modality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_Toc389820969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54</w:t>
            </w:r>
            <w:r w:rsidR="00191697" w:rsidRPr="00191697">
              <w:rPr>
                <w:rFonts w:ascii="Times New Roman" w:hAnsi="Times New Roman" w:cs="Times New Roman"/>
                <w:noProof/>
                <w:webHidden/>
              </w:rPr>
              <w:fldChar w:fldCharType="end"/>
            </w:r>
          </w:hyperlink>
        </w:p>
        <w:p w14:paraId="40A0CAA4" w:rsidR="00191697" w:rsidRPr="00191697" w:rsidRDefault="00F050A3">
          <w:pPr>
            <w:pStyle w:val="TOC2"/>
            <w:rPr>
              <w:rFonts w:ascii="Times New Roman" w:hAnsi="Times New Roman" w:cs="Times New Roman"/>
              <w:noProof/>
            </w:rPr>
          </w:pPr>
          <w:hyperlink w:anchor="_Toc389820970" w:history="1">
            <w:r w:rsidR="00191697" w:rsidRPr="00191697">
              <w:rPr>
                <w:rStyle w:val="Hyperlink"/>
                <w:rFonts w:ascii="Times New Roman" w:hAnsi="Times New Roman" w:cs="Times New Roman"/>
                <w:noProof/>
              </w:rPr>
              <w:t>2.7 Cost Effectiveness</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_Toc389820970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54</w:t>
            </w:r>
            <w:r w:rsidR="00191697" w:rsidRPr="00191697">
              <w:rPr>
                <w:rFonts w:ascii="Times New Roman" w:hAnsi="Times New Roman" w:cs="Times New Roman"/>
                <w:noProof/>
                <w:webHidden/>
              </w:rPr>
              <w:fldChar w:fldCharType="end"/>
            </w:r>
          </w:hyperlink>
        </w:p>
        <w:p w14:paraId="26F1EB6A" w:rsidR="00191697" w:rsidRPr="00191697" w:rsidRDefault="00F050A3">
          <w:pPr>
            <w:pStyle w:val="TOC2"/>
            <w:rPr>
              <w:rFonts w:ascii="Times New Roman" w:hAnsi="Times New Roman" w:cs="Times New Roman"/>
              <w:noProof/>
            </w:rPr>
          </w:pPr>
          <w:hyperlink w:anchor="_Toc389820971" w:history="1">
            <w:r w:rsidR="00191697" w:rsidRPr="00191697">
              <w:rPr>
                <w:rStyle w:val="Hyperlink"/>
                <w:rFonts w:ascii="Times New Roman" w:hAnsi="Times New Roman" w:cs="Times New Roman"/>
                <w:noProof/>
              </w:rPr>
              <w:t>2.8 Sustainability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_Toc389820971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55</w:t>
            </w:r>
            <w:r w:rsidR="00191697" w:rsidRPr="00191697">
              <w:rPr>
                <w:rFonts w:ascii="Times New Roman" w:hAnsi="Times New Roman" w:cs="Times New Roman"/>
                <w:noProof/>
                <w:webHidden/>
              </w:rPr>
              <w:fldChar w:fldCharType="end"/>
            </w:r>
          </w:hyperlink>
        </w:p>
        <w:p w14:paraId="44C33E3B" w:rsidR="00191697" w:rsidRPr="00191697" w:rsidRDefault="00F050A3">
          <w:pPr>
            <w:pStyle w:val="TOC2"/>
            <w:rPr>
              <w:rFonts w:ascii="Times New Roman" w:hAnsi="Times New Roman" w:cs="Times New Roman"/>
              <w:noProof/>
            </w:rPr>
          </w:pPr>
          <w:hyperlink w:anchor="_Toc389820972" w:history="1">
            <w:r w:rsidR="00191697" w:rsidRPr="00191697">
              <w:rPr>
                <w:rStyle w:val="Hyperlink"/>
                <w:rFonts w:ascii="Times New Roman" w:hAnsi="Times New Roman" w:cs="Times New Roman"/>
                <w:noProof/>
              </w:rPr>
              <w:t>2.9 Replicability</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_Toc389820972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57</w:t>
            </w:r>
            <w:r w:rsidR="00191697" w:rsidRPr="00191697">
              <w:rPr>
                <w:rFonts w:ascii="Times New Roman" w:hAnsi="Times New Roman" w:cs="Times New Roman"/>
                <w:noProof/>
                <w:webHidden/>
              </w:rPr>
              <w:fldChar w:fldCharType="end"/>
            </w:r>
          </w:hyperlink>
        </w:p>
        <w:p w14:paraId="089BF915" w:rsidR="00191697" w:rsidRPr="00191697" w:rsidRDefault="00F050A3">
          <w:pPr>
            <w:pStyle w:val="TOC2"/>
            <w:rPr>
              <w:rFonts w:ascii="Times New Roman" w:hAnsi="Times New Roman" w:cs="Times New Roman"/>
              <w:noProof/>
            </w:rPr>
          </w:pPr>
          <w:hyperlink w:anchor="_Toc389820973" w:history="1">
            <w:r w:rsidR="00191697" w:rsidRPr="00191697">
              <w:rPr>
                <w:rStyle w:val="Hyperlink"/>
                <w:rFonts w:ascii="Times New Roman" w:hAnsi="Times New Roman" w:cs="Times New Roman"/>
                <w:noProof/>
              </w:rPr>
              <w:t>2.10 Project Results and GEF Increment</w:t>
            </w:r>
            <w:r w:rsidR="00191697" w:rsidRPr="00191697">
              <w:rPr>
                <w:rFonts w:ascii="Times New Roman" w:hAnsi="Times New Roman" w:cs="Times New Roman"/>
                <w:noProof/>
                <w:webHidden/>
              </w:rPr>
              <w:tab/>
            </w:r>
            <w:r w:rsidR="00191697" w:rsidRPr="00191697">
              <w:rPr>
                <w:rFonts w:ascii="Times New Roman" w:hAnsi="Times New Roman" w:cs="Times New Roman"/>
                <w:noProof/>
                <w:webHidden/>
              </w:rPr>
              <w:fldChar w:fldCharType="begin"/>
            </w:r>
            <w:r w:rsidR="00191697" w:rsidRPr="00191697">
              <w:rPr>
                <w:rFonts w:ascii="Times New Roman" w:hAnsi="Times New Roman" w:cs="Times New Roman"/>
                <w:noProof/>
                <w:webHidden/>
              </w:rPr>
              <w:instrText xml:space="preserve"> PAGEREF _Toc389820973 \h </w:instrText>
            </w:r>
            <w:r w:rsidR="00191697" w:rsidRPr="00191697">
              <w:rPr>
                <w:rFonts w:ascii="Times New Roman" w:hAnsi="Times New Roman" w:cs="Times New Roman"/>
                <w:noProof/>
                <w:webHidden/>
              </w:rPr>
            </w:r>
            <w:r w:rsidR="00191697" w:rsidRPr="00191697">
              <w:rPr>
                <w:rFonts w:ascii="Times New Roman" w:hAnsi="Times New Roman" w:cs="Times New Roman"/>
                <w:noProof/>
                <w:webHidden/>
              </w:rPr>
              <w:fldChar w:fldCharType="separate"/>
            </w:r>
            <w:r w:rsidR="001571FA">
              <w:rPr>
                <w:rFonts w:ascii="Times New Roman" w:hAnsi="Times New Roman" w:cs="Times New Roman"/>
                <w:noProof/>
                <w:webHidden/>
              </w:rPr>
              <w:t>57</w:t>
            </w:r>
            <w:r w:rsidR="00191697" w:rsidRPr="00191697">
              <w:rPr>
                <w:rFonts w:ascii="Times New Roman" w:hAnsi="Times New Roman" w:cs="Times New Roman"/>
                <w:noProof/>
                <w:webHidden/>
              </w:rPr>
              <w:fldChar w:fldCharType="end"/>
            </w:r>
          </w:hyperlink>
        </w:p>
        <w:p w14:paraId="307E9037" w:rsidR="00191697" w:rsidRPr="00191697" w:rsidRDefault="00F050A3">
          <w:pPr>
            <w:pStyle w:val="TOC1"/>
            <w:rPr>
              <w:rFonts w:eastAsiaTheme="minorEastAsia"/>
            </w:rPr>
          </w:pPr>
          <w:hyperlink w:anchor="_Toc389820974" w:history="1">
            <w:r w:rsidR="00191697" w:rsidRPr="00191697">
              <w:rPr>
                <w:rStyle w:val="Hyperlink"/>
              </w:rPr>
              <w:t>SECTION II:   PROJECT RESULTS FRAMEWORK:</w:t>
            </w:r>
            <w:r w:rsidR="00191697" w:rsidRPr="00191697">
              <w:rPr>
                <w:webHidden/>
              </w:rPr>
              <w:tab/>
            </w:r>
            <w:r w:rsidR="00191697" w:rsidRPr="00191697">
              <w:rPr>
                <w:webHidden/>
              </w:rPr>
              <w:fldChar w:fldCharType="begin"/>
            </w:r>
            <w:r w:rsidR="00191697" w:rsidRPr="00191697">
              <w:rPr>
                <w:webHidden/>
              </w:rPr>
              <w:instrText xml:space="preserve"> PAGEREF _Toc389820974 \h </w:instrText>
            </w:r>
            <w:r w:rsidR="00191697" w:rsidRPr="00191697">
              <w:rPr>
                <w:webHidden/>
              </w:rPr>
            </w:r>
            <w:r w:rsidR="00191697" w:rsidRPr="00191697">
              <w:rPr>
                <w:webHidden/>
              </w:rPr>
              <w:fldChar w:fldCharType="separate"/>
            </w:r>
            <w:r w:rsidR="001571FA">
              <w:rPr>
                <w:webHidden/>
              </w:rPr>
              <w:t>60</w:t>
            </w:r>
            <w:r w:rsidR="00191697" w:rsidRPr="00191697">
              <w:rPr>
                <w:webHidden/>
              </w:rPr>
              <w:fldChar w:fldCharType="end"/>
            </w:r>
          </w:hyperlink>
        </w:p>
        <w:p w14:paraId="761869FA" w:rsidR="00191697" w:rsidRPr="00191697" w:rsidRDefault="00F050A3">
          <w:pPr>
            <w:pStyle w:val="TOC1"/>
            <w:rPr>
              <w:rFonts w:eastAsiaTheme="minorEastAsia"/>
            </w:rPr>
          </w:pPr>
          <w:hyperlink w:anchor="_Toc389820975" w:history="1">
            <w:r w:rsidR="00191697" w:rsidRPr="003039E6">
              <w:rPr>
                <w:rStyle w:val="Hyperlink"/>
              </w:rPr>
              <w:t>SECTION III. TOTAL BUDGET AND WORK PLAN</w:t>
            </w:r>
            <w:r w:rsidR="00191697" w:rsidRPr="003039E6">
              <w:rPr>
                <w:webHidden/>
              </w:rPr>
              <w:tab/>
            </w:r>
            <w:r w:rsidR="00191697" w:rsidRPr="003039E6">
              <w:rPr>
                <w:webHidden/>
              </w:rPr>
              <w:fldChar w:fldCharType="begin"/>
            </w:r>
            <w:r w:rsidR="00191697" w:rsidRPr="003039E6">
              <w:rPr>
                <w:webHidden/>
              </w:rPr>
              <w:instrText xml:space="preserve"> PAGEREF _Toc389820975 \h </w:instrText>
            </w:r>
            <w:r w:rsidR="00191697" w:rsidRPr="003039E6">
              <w:rPr>
                <w:webHidden/>
              </w:rPr>
            </w:r>
            <w:r w:rsidR="00191697" w:rsidRPr="003039E6">
              <w:rPr>
                <w:webHidden/>
              </w:rPr>
              <w:fldChar w:fldCharType="separate"/>
            </w:r>
            <w:r w:rsidR="001571FA">
              <w:rPr>
                <w:webHidden/>
              </w:rPr>
              <w:t>68</w:t>
            </w:r>
            <w:r w:rsidR="00191697" w:rsidRPr="003039E6">
              <w:rPr>
                <w:webHidden/>
              </w:rPr>
              <w:fldChar w:fldCharType="end"/>
            </w:r>
          </w:hyperlink>
        </w:p>
        <w:p w14:paraId="41A73008" w:rsidR="00191697" w:rsidRPr="00191697" w:rsidRDefault="00F050A3">
          <w:pPr>
            <w:pStyle w:val="TOC1"/>
            <w:rPr>
              <w:rFonts w:eastAsiaTheme="minorEastAsia"/>
            </w:rPr>
          </w:pPr>
          <w:hyperlink w:anchor="_Toc389820976" w:history="1">
            <w:r w:rsidR="00191697" w:rsidRPr="006E07EC">
              <w:rPr>
                <w:rStyle w:val="Hyperlink"/>
              </w:rPr>
              <w:t>SECTION IV: MANAGEMENT ARRANGEMENTS</w:t>
            </w:r>
            <w:r w:rsidR="00191697" w:rsidRPr="006E07EC">
              <w:rPr>
                <w:webHidden/>
              </w:rPr>
              <w:tab/>
            </w:r>
            <w:r w:rsidR="00191697" w:rsidRPr="006E07EC">
              <w:rPr>
                <w:webHidden/>
              </w:rPr>
              <w:fldChar w:fldCharType="begin"/>
            </w:r>
            <w:r w:rsidR="00191697" w:rsidRPr="006E07EC">
              <w:rPr>
                <w:webHidden/>
              </w:rPr>
              <w:instrText xml:space="preserve"> PAGEREF _Toc389820976 \h </w:instrText>
            </w:r>
            <w:r w:rsidR="00191697" w:rsidRPr="006E07EC">
              <w:rPr>
                <w:webHidden/>
              </w:rPr>
            </w:r>
            <w:r w:rsidR="00191697" w:rsidRPr="006E07EC">
              <w:rPr>
                <w:webHidden/>
              </w:rPr>
              <w:fldChar w:fldCharType="separate"/>
            </w:r>
            <w:r w:rsidR="001571FA">
              <w:rPr>
                <w:webHidden/>
              </w:rPr>
              <w:t>83</w:t>
            </w:r>
            <w:r w:rsidR="00191697" w:rsidRPr="006E07EC">
              <w:rPr>
                <w:webHidden/>
              </w:rPr>
              <w:fldChar w:fldCharType="end"/>
            </w:r>
          </w:hyperlink>
        </w:p>
        <w:p w14:paraId="5FC9E79A" w:rsidR="00191697" w:rsidRPr="00191697" w:rsidRDefault="00F050A3">
          <w:pPr>
            <w:pStyle w:val="TOC1"/>
            <w:rPr>
              <w:rFonts w:eastAsiaTheme="minorEastAsia"/>
            </w:rPr>
          </w:pPr>
          <w:hyperlink w:anchor="_Toc389820977" w:history="1">
            <w:r w:rsidR="00191697" w:rsidRPr="00191697">
              <w:rPr>
                <w:rStyle w:val="Hyperlink"/>
              </w:rPr>
              <w:t>SECTION V: MONITORING &amp; EVALUATION</w:t>
            </w:r>
            <w:r w:rsidR="00191697" w:rsidRPr="00191697">
              <w:rPr>
                <w:webHidden/>
              </w:rPr>
              <w:tab/>
            </w:r>
            <w:r w:rsidR="00191697" w:rsidRPr="00191697">
              <w:rPr>
                <w:webHidden/>
              </w:rPr>
              <w:fldChar w:fldCharType="begin"/>
            </w:r>
            <w:r w:rsidR="00191697" w:rsidRPr="00191697">
              <w:rPr>
                <w:webHidden/>
              </w:rPr>
              <w:instrText xml:space="preserve"> PAGEREF _Toc389820977 \h </w:instrText>
            </w:r>
            <w:r w:rsidR="00191697" w:rsidRPr="00191697">
              <w:rPr>
                <w:webHidden/>
              </w:rPr>
            </w:r>
            <w:r w:rsidR="00191697" w:rsidRPr="00191697">
              <w:rPr>
                <w:webHidden/>
              </w:rPr>
              <w:fldChar w:fldCharType="separate"/>
            </w:r>
            <w:r w:rsidR="001571FA">
              <w:rPr>
                <w:webHidden/>
              </w:rPr>
              <w:t>89</w:t>
            </w:r>
            <w:r w:rsidR="00191697" w:rsidRPr="00191697">
              <w:rPr>
                <w:webHidden/>
              </w:rPr>
              <w:fldChar w:fldCharType="end"/>
            </w:r>
          </w:hyperlink>
        </w:p>
        <w:p w14:paraId="594FE18D" w:rsidR="00191697" w:rsidRPr="00191697" w:rsidRDefault="00F050A3">
          <w:pPr>
            <w:pStyle w:val="TOC1"/>
            <w:rPr>
              <w:rFonts w:eastAsiaTheme="minorEastAsia"/>
            </w:rPr>
          </w:pPr>
          <w:hyperlink w:anchor="_Toc389820980" w:history="1">
            <w:r w:rsidR="00191697" w:rsidRPr="00191697">
              <w:rPr>
                <w:rStyle w:val="Hyperlink"/>
              </w:rPr>
              <w:t>STAKEHOLDER INVOLVEMENT PLAN</w:t>
            </w:r>
            <w:r w:rsidR="00191697" w:rsidRPr="00191697">
              <w:rPr>
                <w:webHidden/>
              </w:rPr>
              <w:tab/>
            </w:r>
            <w:r w:rsidR="00191697" w:rsidRPr="00191697">
              <w:rPr>
                <w:webHidden/>
              </w:rPr>
              <w:fldChar w:fldCharType="begin"/>
            </w:r>
            <w:r w:rsidR="00191697" w:rsidRPr="00191697">
              <w:rPr>
                <w:webHidden/>
              </w:rPr>
              <w:instrText xml:space="preserve"> PAGEREF _Toc389820980 \h </w:instrText>
            </w:r>
            <w:r w:rsidR="00191697" w:rsidRPr="00191697">
              <w:rPr>
                <w:webHidden/>
              </w:rPr>
            </w:r>
            <w:r w:rsidR="00191697" w:rsidRPr="00191697">
              <w:rPr>
                <w:webHidden/>
              </w:rPr>
              <w:fldChar w:fldCharType="separate"/>
            </w:r>
            <w:r w:rsidR="001571FA">
              <w:rPr>
                <w:webHidden/>
              </w:rPr>
              <w:t>93</w:t>
            </w:r>
            <w:r w:rsidR="00191697" w:rsidRPr="00191697">
              <w:rPr>
                <w:webHidden/>
              </w:rPr>
              <w:fldChar w:fldCharType="end"/>
            </w:r>
          </w:hyperlink>
        </w:p>
        <w:p w14:paraId="03CAB62F" w:rsidR="00191697" w:rsidRPr="00191697" w:rsidRDefault="00F050A3">
          <w:pPr>
            <w:pStyle w:val="TOC1"/>
            <w:rPr>
              <w:rFonts w:eastAsiaTheme="minorEastAsia"/>
            </w:rPr>
          </w:pPr>
          <w:hyperlink w:anchor="_Toc389820981" w:history="1">
            <w:r w:rsidR="00191697" w:rsidRPr="00191697">
              <w:rPr>
                <w:rStyle w:val="Hyperlink"/>
              </w:rPr>
              <w:t>SECTION VI:  LEGAL CONTEXT</w:t>
            </w:r>
            <w:r w:rsidR="00191697" w:rsidRPr="00191697">
              <w:rPr>
                <w:webHidden/>
              </w:rPr>
              <w:tab/>
            </w:r>
            <w:r w:rsidR="00191697" w:rsidRPr="00191697">
              <w:rPr>
                <w:webHidden/>
              </w:rPr>
              <w:fldChar w:fldCharType="begin"/>
            </w:r>
            <w:r w:rsidR="00191697" w:rsidRPr="00191697">
              <w:rPr>
                <w:webHidden/>
              </w:rPr>
              <w:instrText xml:space="preserve"> PAGEREF _Toc389820981 \h </w:instrText>
            </w:r>
            <w:r w:rsidR="00191697" w:rsidRPr="00191697">
              <w:rPr>
                <w:webHidden/>
              </w:rPr>
            </w:r>
            <w:r w:rsidR="00191697" w:rsidRPr="00191697">
              <w:rPr>
                <w:webHidden/>
              </w:rPr>
              <w:fldChar w:fldCharType="separate"/>
            </w:r>
            <w:r w:rsidR="001571FA">
              <w:rPr>
                <w:webHidden/>
              </w:rPr>
              <w:t>98</w:t>
            </w:r>
            <w:r w:rsidR="00191697" w:rsidRPr="00191697">
              <w:rPr>
                <w:webHidden/>
              </w:rPr>
              <w:fldChar w:fldCharType="end"/>
            </w:r>
          </w:hyperlink>
        </w:p>
        <w:p w14:paraId="40097FAC" w:rsidR="00C64AFC" w:rsidRPr="00514D52" w:rsidRDefault="00C64AFC" w:rsidP="009C3E04">
          <w:pPr>
            <w:pStyle w:val="TOC1"/>
          </w:pPr>
          <w:r w:rsidRPr="007B6469">
            <w:rPr>
              <w:b/>
              <w:bCs/>
            </w:rPr>
            <w:fldChar w:fldCharType="end"/>
          </w:r>
        </w:p>
      </w:sdtContent>
    </w:sdt>
    <w:p w14:paraId="6201C4A0"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1. Additional Information on Biodiversity within the Project Area</w:t>
      </w:r>
    </w:p>
    <w:p w14:paraId="0FEB1FFE"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2: Additional Information on Fisheries</w:t>
      </w:r>
    </w:p>
    <w:p w14:paraId="42CDC001"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3: Maps &amp; Figures</w:t>
      </w:r>
    </w:p>
    <w:p w14:paraId="6D0D9D1B"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4: Information on PAs within the Project Area</w:t>
      </w:r>
    </w:p>
    <w:p w14:paraId="2D3F3BD5"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5: Stakeholder Participation Plan for Implementation</w:t>
      </w:r>
    </w:p>
    <w:p w14:paraId="5382841D"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6: SWOT Risk Matrix for GEF Ridge to Reef Project Implementation</w:t>
      </w:r>
    </w:p>
    <w:p w14:paraId="5A6BA40A"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7: Terms of Reference for Key Project Staff</w:t>
      </w:r>
    </w:p>
    <w:p w14:paraId="4540D4B6" w:rsidR="00514D52" w:rsidRPr="00514D52" w:rsidRDefault="00514D52" w:rsidP="009C3E04">
      <w:pPr>
        <w:rPr>
          <w:rFonts w:ascii="Times New Roman" w:hAnsi="Times New Roman" w:cs="Times New Roman"/>
          <w:sz w:val="20"/>
          <w:szCs w:val="20"/>
        </w:rPr>
      </w:pPr>
      <w:r w:rsidRPr="00514D52">
        <w:rPr>
          <w:rFonts w:ascii="Times New Roman" w:hAnsi="Times New Roman" w:cs="Times New Roman"/>
          <w:sz w:val="20"/>
          <w:szCs w:val="20"/>
        </w:rPr>
        <w:t>Annex 8: Bibliographical References</w:t>
      </w:r>
    </w:p>
    <w:p w14:paraId="6D18CD59" w:rsidR="009A17B4" w:rsidRPr="00300C5F" w:rsidRDefault="00514D52" w:rsidP="009C3E04">
      <w:pPr>
        <w:rPr>
          <w:rFonts w:ascii="Times New Roman" w:hAnsi="Times New Roman" w:cs="Times New Roman"/>
          <w:sz w:val="20"/>
          <w:szCs w:val="20"/>
        </w:rPr>
      </w:pPr>
      <w:r w:rsidRPr="00300C5F">
        <w:rPr>
          <w:rFonts w:ascii="Times New Roman" w:hAnsi="Times New Roman" w:cs="Times New Roman"/>
          <w:sz w:val="20"/>
          <w:szCs w:val="20"/>
        </w:rPr>
        <w:t>Annex 9: Co-financing Commitment Letters</w:t>
      </w:r>
    </w:p>
    <w:p w14:paraId="65D18A20" w:rsidR="009A17B4" w:rsidRPr="00300C5F" w:rsidRDefault="009A17B4" w:rsidP="009C3E04">
      <w:pPr>
        <w:rPr>
          <w:rFonts w:ascii="Times New Roman" w:hAnsi="Times New Roman" w:cs="Times New Roman"/>
          <w:sz w:val="20"/>
          <w:szCs w:val="20"/>
        </w:rPr>
      </w:pPr>
      <w:r w:rsidRPr="00300C5F">
        <w:rPr>
          <w:rFonts w:ascii="Times New Roman" w:hAnsi="Times New Roman" w:cs="Times New Roman"/>
          <w:sz w:val="20"/>
          <w:szCs w:val="20"/>
        </w:rPr>
        <w:t>Annex 10: Capacity Development Scorecard</w:t>
      </w:r>
    </w:p>
    <w:p w14:paraId="78892288" w:rsidR="009A17B4" w:rsidRPr="00300C5F" w:rsidRDefault="009A17B4" w:rsidP="009C3E04">
      <w:pPr>
        <w:rPr>
          <w:rFonts w:ascii="Times New Roman" w:hAnsi="Times New Roman" w:cs="Times New Roman"/>
          <w:sz w:val="20"/>
          <w:szCs w:val="20"/>
        </w:rPr>
      </w:pPr>
      <w:r w:rsidRPr="00300C5F">
        <w:rPr>
          <w:rFonts w:ascii="Times New Roman" w:hAnsi="Times New Roman" w:cs="Times New Roman"/>
          <w:sz w:val="20"/>
          <w:szCs w:val="20"/>
        </w:rPr>
        <w:t>Annex 11: Environmental and Social Screening Checklist</w:t>
      </w:r>
      <w:r w:rsidR="006E6DAE">
        <w:rPr>
          <w:rFonts w:ascii="Times New Roman" w:hAnsi="Times New Roman" w:cs="Times New Roman"/>
          <w:sz w:val="20"/>
          <w:szCs w:val="20"/>
        </w:rPr>
        <w:t xml:space="preserve"> (provided separately)</w:t>
      </w:r>
    </w:p>
    <w:p w14:paraId="56E81719" w:rsidR="0088527F" w:rsidRDefault="009A17B4" w:rsidP="009C3E04">
      <w:pPr>
        <w:rPr>
          <w:rFonts w:ascii="Times New Roman" w:hAnsi="Times New Roman" w:cs="Times New Roman"/>
          <w:b/>
          <w:sz w:val="20"/>
          <w:szCs w:val="20"/>
        </w:rPr>
      </w:pPr>
      <w:r w:rsidRPr="00300C5F">
        <w:rPr>
          <w:rFonts w:ascii="Times New Roman" w:hAnsi="Times New Roman" w:cs="Times New Roman"/>
          <w:sz w:val="20"/>
          <w:szCs w:val="20"/>
        </w:rPr>
        <w:t>Annex 12: Tracking Tools Summary (full TT provided separately)</w:t>
      </w:r>
      <w:r w:rsidR="0088527F">
        <w:rPr>
          <w:rFonts w:ascii="Times New Roman" w:hAnsi="Times New Roman" w:cs="Times New Roman"/>
          <w:b/>
          <w:sz w:val="20"/>
          <w:szCs w:val="20"/>
        </w:rPr>
        <w:br w:type="page"/>
      </w:r>
    </w:p>
    <w:p w14:paraId="2FBF71EC" w:rsidR="0088527F" w:rsidRPr="0088527F" w:rsidRDefault="0088527F" w:rsidP="009C3E04">
      <w:pPr>
        <w:pStyle w:val="Heading1"/>
      </w:pPr>
      <w:bookmarkStart w:id="2" w:name="_Toc389820946"/>
      <w:r w:rsidRPr="0088527F">
        <w:t>SECTION I: ELABORATION OF THE NARRATIVE</w:t>
      </w:r>
      <w:bookmarkEnd w:id="2"/>
    </w:p>
    <w:p w14:paraId="07AE546B" w:rsidR="00785CE6" w:rsidRDefault="00785CE6" w:rsidP="009C3E04">
      <w:pPr>
        <w:pStyle w:val="Heading1"/>
      </w:pPr>
    </w:p>
    <w:p w14:paraId="4F8744DD" w:rsidR="00133632" w:rsidRPr="00DC4545" w:rsidRDefault="0088527F" w:rsidP="009C3E04">
      <w:pPr>
        <w:pStyle w:val="Heading1"/>
      </w:pPr>
      <w:bookmarkStart w:id="3" w:name="_Toc389820947"/>
      <w:r>
        <w:t>P</w:t>
      </w:r>
      <w:r w:rsidR="00133632" w:rsidRPr="00DC4545">
        <w:t>ART 1: SITUATION ANALYSIS</w:t>
      </w:r>
      <w:bookmarkEnd w:id="3"/>
      <w:r w:rsidR="00133632" w:rsidRPr="00DC4545">
        <w:t xml:space="preserve"> </w:t>
      </w:r>
    </w:p>
    <w:p w14:paraId="6C9A1410" w:rsidR="00133632" w:rsidRPr="00DC4545" w:rsidRDefault="00785CE6" w:rsidP="009C3E04">
      <w:pPr>
        <w:pStyle w:val="Heading2"/>
      </w:pPr>
      <w:bookmarkStart w:id="4" w:name="_Toc389820948"/>
      <w:r>
        <w:t>1.</w:t>
      </w:r>
      <w:r w:rsidR="001E7276">
        <w:t xml:space="preserve"> A: CONTEXT</w:t>
      </w:r>
      <w:r w:rsidR="00133632" w:rsidRPr="00DC4545">
        <w:t xml:space="preserve"> AND GLOBAL SIGNIFICANCE</w:t>
      </w:r>
      <w:bookmarkEnd w:id="4"/>
      <w:r w:rsidR="00133632" w:rsidRPr="00DC4545">
        <w:t xml:space="preserve"> </w:t>
      </w:r>
    </w:p>
    <w:p w14:paraId="279CDFC7" w:rsidR="00133632" w:rsidRPr="00DC4545" w:rsidRDefault="006C24E2" w:rsidP="009C3E04">
      <w:pPr>
        <w:pStyle w:val="Heading3"/>
      </w:pPr>
      <w:bookmarkStart w:id="5" w:name="_Toc389820949"/>
      <w:r>
        <w:t xml:space="preserve">1.A.1 </w:t>
      </w:r>
      <w:r w:rsidR="00133632" w:rsidRPr="00DC4545">
        <w:t>Environmental Context</w:t>
      </w:r>
      <w:bookmarkEnd w:id="5"/>
      <w:r w:rsidR="00133632" w:rsidRPr="00DC4545">
        <w:t xml:space="preserve"> </w:t>
      </w:r>
    </w:p>
    <w:p w14:paraId="1E20354E" w:rsidR="00C6660F" w:rsidRDefault="00C6660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Grenada is the most southerly of a group of volcanic islands in the Eastern Caribbean called the Windward</w:t>
      </w:r>
      <w:r>
        <w:rPr>
          <w:rFonts w:ascii="Times New Roman" w:hAnsi="Times New Roman" w:cs="Times New Roman"/>
        </w:rPr>
        <w:t xml:space="preserve"> </w:t>
      </w:r>
      <w:r w:rsidRPr="00DC4545">
        <w:rPr>
          <w:rFonts w:ascii="Times New Roman" w:hAnsi="Times New Roman" w:cs="Times New Roman"/>
        </w:rPr>
        <w:t xml:space="preserve">Islands. The Grenada state </w:t>
      </w:r>
      <w:r>
        <w:rPr>
          <w:rFonts w:ascii="Times New Roman" w:hAnsi="Times New Roman" w:cs="Times New Roman"/>
        </w:rPr>
        <w:t>has a</w:t>
      </w:r>
      <w:r w:rsidRPr="00877CB6">
        <w:rPr>
          <w:rFonts w:ascii="Times New Roman" w:hAnsi="Times New Roman" w:cs="Times New Roman"/>
        </w:rPr>
        <w:t xml:space="preserve"> total land area </w:t>
      </w:r>
      <w:r>
        <w:rPr>
          <w:rFonts w:ascii="Times New Roman" w:hAnsi="Times New Roman" w:cs="Times New Roman"/>
        </w:rPr>
        <w:t>of</w:t>
      </w:r>
      <w:r w:rsidRPr="00877CB6">
        <w:rPr>
          <w:rFonts w:ascii="Times New Roman" w:hAnsi="Times New Roman" w:cs="Times New Roman"/>
        </w:rPr>
        <w:t xml:space="preserve"> approximately 344 sq. km </w:t>
      </w:r>
      <w:r>
        <w:rPr>
          <w:rFonts w:ascii="Times New Roman" w:hAnsi="Times New Roman" w:cs="Times New Roman"/>
        </w:rPr>
        <w:t xml:space="preserve">and </w:t>
      </w:r>
      <w:r w:rsidRPr="00DC4545">
        <w:rPr>
          <w:rFonts w:ascii="Times New Roman" w:hAnsi="Times New Roman" w:cs="Times New Roman"/>
        </w:rPr>
        <w:t xml:space="preserve">consists of three populated islands forming an archipelago of: Grenada, Carriacou and Petite Martinique. </w:t>
      </w:r>
    </w:p>
    <w:p w14:paraId="20955C35" w:rsidR="00C6660F" w:rsidRPr="00C6660F" w:rsidRDefault="00C6660F" w:rsidP="00C6660F">
      <w:pPr>
        <w:tabs>
          <w:tab w:val="left" w:pos="914"/>
        </w:tabs>
        <w:rPr>
          <w:rFonts w:ascii="Times New Roman" w:hAnsi="Times New Roman" w:cs="Times New Roman"/>
          <w:b/>
        </w:rPr>
      </w:pPr>
      <w:r>
        <w:rPr>
          <w:rFonts w:ascii="Times New Roman" w:hAnsi="Times New Roman" w:cs="Times New Roman"/>
          <w:b/>
        </w:rPr>
        <w:t>Figure 1. Map of Grenada</w:t>
      </w:r>
    </w:p>
    <w:p w14:paraId="57C2B62E" w:rsidR="00C6660F" w:rsidRPr="00C6660F" w:rsidRDefault="00C6660F" w:rsidP="00C6660F">
      <w:pPr>
        <w:tabs>
          <w:tab w:val="left" w:pos="914"/>
        </w:tabs>
        <w:rPr>
          <w:rFonts w:ascii="Times New Roman" w:hAnsi="Times New Roman" w:cs="Times New Roman"/>
        </w:rPr>
      </w:pPr>
      <w:r>
        <w:rPr>
          <w:noProof/>
        </w:rPr>
        <w:drawing>
          <wp:inline distT="0" distB="0" distL="0" distR="0" wp14:anchorId="56B3AE90" wp14:editId="463C9DDC">
            <wp:extent cx="4476673" cy="43274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ProjectArea.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9712" cy="4330389"/>
                    </a:xfrm>
                    <a:prstGeom prst="rect">
                      <a:avLst/>
                    </a:prstGeom>
                  </pic:spPr>
                </pic:pic>
              </a:graphicData>
            </a:graphic>
          </wp:inline>
        </w:drawing>
      </w:r>
    </w:p>
    <w:p w14:paraId="36774251" w:rsidR="00C6660F" w:rsidRPr="00A53745" w:rsidRDefault="00C6660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main island of Grenada, about 310 sq. km., like the other Windward Islands to the north is very mountainous, covered with rich volcanic soils and drained by numerous small rivers and streams. This </w:t>
      </w:r>
      <w:r>
        <w:rPr>
          <w:rFonts w:ascii="Times New Roman" w:hAnsi="Times New Roman" w:cs="Times New Roman"/>
        </w:rPr>
        <w:t xml:space="preserve">topography </w:t>
      </w:r>
      <w:r w:rsidRPr="00DC4545">
        <w:rPr>
          <w:rFonts w:ascii="Times New Roman" w:hAnsi="Times New Roman" w:cs="Times New Roman"/>
        </w:rPr>
        <w:t>divides the island</w:t>
      </w:r>
      <w:r>
        <w:rPr>
          <w:rFonts w:ascii="Times New Roman" w:hAnsi="Times New Roman" w:cs="Times New Roman"/>
        </w:rPr>
        <w:t>’</w:t>
      </w:r>
      <w:r w:rsidRPr="00DC4545">
        <w:rPr>
          <w:rFonts w:ascii="Times New Roman" w:hAnsi="Times New Roman" w:cs="Times New Roman"/>
        </w:rPr>
        <w:t xml:space="preserve">s landscapes into a set of micro-watersheds, each having the bigger or smaller impact in run-off on the near shore coastal zone and island shelf. The island is therefore drained from ‘ridge to reef’ since the pattern of drainage is one in which impacts would travel from upper landscapes through lower landscapes and </w:t>
      </w:r>
      <w:r>
        <w:rPr>
          <w:rFonts w:ascii="Times New Roman" w:hAnsi="Times New Roman" w:cs="Times New Roman"/>
        </w:rPr>
        <w:t>i</w:t>
      </w:r>
      <w:r w:rsidRPr="00DC4545">
        <w:rPr>
          <w:rFonts w:ascii="Times New Roman" w:hAnsi="Times New Roman" w:cs="Times New Roman"/>
        </w:rPr>
        <w:t xml:space="preserve">nto coastal seascapes. The only noteworthy cases of inland landscape drainage are three small volcanic lakes, the main one being the Grand Etang at </w:t>
      </w:r>
      <w:r>
        <w:rPr>
          <w:rFonts w:ascii="Times New Roman" w:hAnsi="Times New Roman" w:cs="Times New Roman"/>
        </w:rPr>
        <w:t>an altitude of</w:t>
      </w:r>
      <w:r w:rsidRPr="00DC4545">
        <w:rPr>
          <w:rFonts w:ascii="Times New Roman" w:hAnsi="Times New Roman" w:cs="Times New Roman"/>
        </w:rPr>
        <w:t xml:space="preserve"> 600</w:t>
      </w:r>
      <w:r>
        <w:rPr>
          <w:rFonts w:ascii="Times New Roman" w:hAnsi="Times New Roman" w:cs="Times New Roman"/>
        </w:rPr>
        <w:t xml:space="preserve"> </w:t>
      </w:r>
      <w:r w:rsidRPr="00DC4545">
        <w:rPr>
          <w:rFonts w:ascii="Times New Roman" w:hAnsi="Times New Roman" w:cs="Times New Roman"/>
        </w:rPr>
        <w:t>m</w:t>
      </w:r>
      <w:r>
        <w:rPr>
          <w:rFonts w:ascii="Times New Roman" w:hAnsi="Times New Roman" w:cs="Times New Roman"/>
        </w:rPr>
        <w:t>.a.s.l</w:t>
      </w:r>
      <w:r w:rsidRPr="00DC4545">
        <w:rPr>
          <w:rFonts w:ascii="Times New Roman" w:hAnsi="Times New Roman" w:cs="Times New Roman"/>
        </w:rPr>
        <w:t>.</w:t>
      </w:r>
    </w:p>
    <w:p w14:paraId="42F20FDC" w:rsidR="00C6660F" w:rsidRPr="00A53745" w:rsidRDefault="00C6660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At 12</w:t>
      </w:r>
      <w:r w:rsidRPr="007919A9">
        <w:rPr>
          <w:rFonts w:ascii="Times New Roman" w:hAnsi="Times New Roman" w:cs="Times New Roman"/>
          <w:vertAlign w:val="superscript"/>
        </w:rPr>
        <w:t>o</w:t>
      </w:r>
      <w:r w:rsidRPr="00DC4545">
        <w:rPr>
          <w:rFonts w:ascii="Times New Roman" w:hAnsi="Times New Roman" w:cs="Times New Roman"/>
        </w:rPr>
        <w:t xml:space="preserve">N Latitude, Grenada is highly impacted by the prevailing moisture-laden Northeast Trade Winds coming off the Western Central Atlantic Ocean. The average annual rainfall is about 1500mm with the greatest precipitation during the annual rainy season from May/June to December and with a distinct dry season from January/February to May. </w:t>
      </w:r>
      <w:r>
        <w:rPr>
          <w:rFonts w:ascii="Times New Roman" w:hAnsi="Times New Roman" w:cs="Times New Roman"/>
        </w:rPr>
        <w:t>As a result of the high rates of precipitation, t</w:t>
      </w:r>
      <w:r w:rsidRPr="00A53745">
        <w:rPr>
          <w:rFonts w:ascii="Times New Roman" w:hAnsi="Times New Roman" w:cs="Times New Roman"/>
        </w:rPr>
        <w:t xml:space="preserve">he biodiversity is considered as an island representation of that of the East Coast of Northern South America. The landscapes of Grenada, once heavily covered with forested species especially </w:t>
      </w:r>
      <w:r>
        <w:rPr>
          <w:rFonts w:ascii="Times New Roman" w:hAnsi="Times New Roman" w:cs="Times New Roman"/>
        </w:rPr>
        <w:t>i</w:t>
      </w:r>
      <w:r w:rsidRPr="00A53745">
        <w:rPr>
          <w:rFonts w:ascii="Times New Roman" w:hAnsi="Times New Roman" w:cs="Times New Roman"/>
        </w:rPr>
        <w:t>n upper altitudes are now being increasingly threatened by encroaching Agriculture, Housing and other Urban Developments. Special fea</w:t>
      </w:r>
      <w:r>
        <w:rPr>
          <w:rFonts w:ascii="Times New Roman" w:hAnsi="Times New Roman" w:cs="Times New Roman"/>
        </w:rPr>
        <w:t>tures of the Grenada landscapes</w:t>
      </w:r>
      <w:r w:rsidRPr="00A53745">
        <w:rPr>
          <w:rFonts w:ascii="Times New Roman" w:hAnsi="Times New Roman" w:cs="Times New Roman"/>
        </w:rPr>
        <w:t xml:space="preserve"> and seascapes include: low lying landscapes, small out-islands and an island shelf to the </w:t>
      </w:r>
      <w:r>
        <w:rPr>
          <w:rFonts w:ascii="Times New Roman" w:hAnsi="Times New Roman" w:cs="Times New Roman"/>
        </w:rPr>
        <w:t xml:space="preserve">north and </w:t>
      </w:r>
      <w:r w:rsidRPr="00A53745">
        <w:rPr>
          <w:rFonts w:ascii="Times New Roman" w:hAnsi="Times New Roman" w:cs="Times New Roman"/>
        </w:rPr>
        <w:t xml:space="preserve">south of mainland Grenada. These outer islands are considerably less mountainous than the </w:t>
      </w:r>
      <w:r>
        <w:rPr>
          <w:rFonts w:ascii="Times New Roman" w:hAnsi="Times New Roman" w:cs="Times New Roman"/>
        </w:rPr>
        <w:t>central part of the main island</w:t>
      </w:r>
      <w:r w:rsidRPr="00A53745">
        <w:rPr>
          <w:rFonts w:ascii="Times New Roman" w:hAnsi="Times New Roman" w:cs="Times New Roman"/>
        </w:rPr>
        <w:t xml:space="preserve"> and notable for their white sand beaches generated by coral reef derivatives. </w:t>
      </w:r>
      <w:r>
        <w:rPr>
          <w:rFonts w:ascii="Times New Roman" w:hAnsi="Times New Roman" w:cs="Times New Roman"/>
        </w:rPr>
        <w:t>They</w:t>
      </w:r>
      <w:r w:rsidRPr="00A53745">
        <w:rPr>
          <w:rFonts w:ascii="Times New Roman" w:hAnsi="Times New Roman" w:cs="Times New Roman"/>
        </w:rPr>
        <w:t xml:space="preserve"> are also noted for being relatively dry when compared with the mountainous areas of the main-island; the local area BD distinctly reflects the wetter or drier environments. The centra</w:t>
      </w:r>
      <w:r>
        <w:rPr>
          <w:rFonts w:ascii="Times New Roman" w:hAnsi="Times New Roman" w:cs="Times New Roman"/>
        </w:rPr>
        <w:t xml:space="preserve">l core of volcanic Grenada’s main </w:t>
      </w:r>
      <w:r w:rsidRPr="00A53745">
        <w:rPr>
          <w:rFonts w:ascii="Times New Roman" w:hAnsi="Times New Roman" w:cs="Times New Roman"/>
        </w:rPr>
        <w:t>island rises to an elevation of about 840m at the highest point.  There are virtually no upper landscapes that are void of tropical vegetation or scar</w:t>
      </w:r>
      <w:r>
        <w:rPr>
          <w:rFonts w:ascii="Times New Roman" w:hAnsi="Times New Roman" w:cs="Times New Roman"/>
        </w:rPr>
        <w:t>r</w:t>
      </w:r>
      <w:r w:rsidRPr="00A53745">
        <w:rPr>
          <w:rFonts w:ascii="Times New Roman" w:hAnsi="Times New Roman" w:cs="Times New Roman"/>
        </w:rPr>
        <w:t xml:space="preserve">ed by exposed rockslides. </w:t>
      </w:r>
    </w:p>
    <w:p w14:paraId="4A32ACB3" w:rsidR="004A3EE8" w:rsidRPr="004A3EE8" w:rsidRDefault="00133632" w:rsidP="00CA416F">
      <w:pPr>
        <w:pStyle w:val="ListParagraph"/>
        <w:numPr>
          <w:ilvl w:val="0"/>
          <w:numId w:val="27"/>
        </w:numPr>
        <w:spacing w:after="240" w:line="240" w:lineRule="auto"/>
        <w:ind w:left="0" w:firstLine="0"/>
        <w:contextualSpacing w:val="0"/>
        <w:jc w:val="both"/>
        <w:rPr>
          <w:rFonts w:ascii="Times New Roman" w:eastAsia="Times New Roman" w:hAnsi="Times New Roman" w:cs="Times New Roman"/>
        </w:rPr>
      </w:pPr>
      <w:r w:rsidRPr="00DC4545">
        <w:rPr>
          <w:rFonts w:ascii="Times New Roman" w:hAnsi="Times New Roman" w:cs="Times New Roman"/>
        </w:rPr>
        <w:t>The Grenada mainland (approximately 90.2%</w:t>
      </w:r>
      <w:r w:rsidR="00670F93">
        <w:rPr>
          <w:rFonts w:ascii="Times New Roman" w:hAnsi="Times New Roman" w:cs="Times New Roman"/>
        </w:rPr>
        <w:t xml:space="preserve"> of the Grenada Territory) is </w:t>
      </w:r>
      <w:r w:rsidRPr="00DC4545">
        <w:rPr>
          <w:rFonts w:ascii="Times New Roman" w:hAnsi="Times New Roman" w:cs="Times New Roman"/>
        </w:rPr>
        <w:t>mountainous with moderately wet landscape and with average annual rainfall of about 1500mm. The volcanic nature of the island</w:t>
      </w:r>
      <w:r w:rsidR="009616F7">
        <w:rPr>
          <w:rFonts w:ascii="Times New Roman" w:hAnsi="Times New Roman" w:cs="Times New Roman"/>
        </w:rPr>
        <w:t>,</w:t>
      </w:r>
      <w:r w:rsidRPr="00DC4545">
        <w:rPr>
          <w:rFonts w:ascii="Times New Roman" w:hAnsi="Times New Roman" w:cs="Times New Roman"/>
        </w:rPr>
        <w:t xml:space="preserve"> with its steep hillsides</w:t>
      </w:r>
      <w:r w:rsidR="009616F7">
        <w:rPr>
          <w:rFonts w:ascii="Times New Roman" w:hAnsi="Times New Roman" w:cs="Times New Roman"/>
        </w:rPr>
        <w:t>,</w:t>
      </w:r>
      <w:r w:rsidRPr="00DC4545">
        <w:rPr>
          <w:rFonts w:ascii="Times New Roman" w:hAnsi="Times New Roman" w:cs="Times New Roman"/>
        </w:rPr>
        <w:t xml:space="preserve"> creates numerous small watersheds that are drained by a number of year-round rivers and several ravine-type outfalls. Historically, forest coverage was in excess of 75% up to about 50 years ago and these forests occupied the middle and upper altitude while agriculture and housing occupied the middle to low-lying landscapes.</w:t>
      </w:r>
      <w:r w:rsidR="004A3EE8" w:rsidRPr="004A3EE8">
        <w:rPr>
          <w:rFonts w:ascii="Times New Roman" w:hAnsi="Times New Roman" w:eastAsia="Times New Roman" w:cs="Times New Roman"/>
        </w:rPr>
        <w:t xml:space="preserve"> Although Grenada’s Agriculture was in large part based on tree crops, now in distinct decline, it is estimated that about 50% of Grenada’s landscape is still covered in Forest. Historical data also shows that CO2 emissions for Grenada are estimated at about 245,000 metric tonnes or 2.4 tonnes per capita.  </w:t>
      </w:r>
    </w:p>
    <w:p w14:paraId="0FCCC637"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Typical of small island volcanic landscape, Grenada forests and vegetation </w:t>
      </w:r>
      <w:r w:rsidR="00670F93">
        <w:rPr>
          <w:rFonts w:ascii="Times New Roman" w:hAnsi="Times New Roman" w:cs="Times New Roman"/>
        </w:rPr>
        <w:t xml:space="preserve">are </w:t>
      </w:r>
      <w:r w:rsidRPr="00DC4545">
        <w:rPr>
          <w:rFonts w:ascii="Times New Roman" w:hAnsi="Times New Roman" w:cs="Times New Roman"/>
        </w:rPr>
        <w:t xml:space="preserve">characterized mostly based on altitude </w:t>
      </w:r>
      <w:r w:rsidR="00670F93">
        <w:rPr>
          <w:rFonts w:ascii="Times New Roman" w:hAnsi="Times New Roman" w:cs="Times New Roman"/>
        </w:rPr>
        <w:t>zones and</w:t>
      </w:r>
      <w:r w:rsidRPr="00DC4545">
        <w:rPr>
          <w:rFonts w:ascii="Times New Roman" w:hAnsi="Times New Roman" w:cs="Times New Roman"/>
        </w:rPr>
        <w:t xml:space="preserve"> </w:t>
      </w:r>
      <w:r w:rsidR="00670F93">
        <w:rPr>
          <w:rFonts w:ascii="Times New Roman" w:hAnsi="Times New Roman" w:cs="Times New Roman"/>
        </w:rPr>
        <w:t xml:space="preserve">are classified </w:t>
      </w:r>
      <w:r w:rsidRPr="00DC4545">
        <w:rPr>
          <w:rFonts w:ascii="Times New Roman" w:hAnsi="Times New Roman" w:cs="Times New Roman"/>
        </w:rPr>
        <w:t xml:space="preserve">under </w:t>
      </w:r>
      <w:r w:rsidR="00670F93">
        <w:rPr>
          <w:rFonts w:ascii="Times New Roman" w:hAnsi="Times New Roman" w:cs="Times New Roman"/>
        </w:rPr>
        <w:t xml:space="preserve">the </w:t>
      </w:r>
      <w:r w:rsidRPr="00DC4545">
        <w:rPr>
          <w:rFonts w:ascii="Times New Roman" w:hAnsi="Times New Roman" w:cs="Times New Roman"/>
        </w:rPr>
        <w:t>following types</w:t>
      </w:r>
      <w:r w:rsidR="00670F93" w:rsidRPr="00DC4545">
        <w:rPr>
          <w:rFonts w:ascii="Times New Roman" w:hAnsi="Times New Roman" w:cs="Times New Roman"/>
        </w:rPr>
        <w:t xml:space="preserve"> </w:t>
      </w:r>
      <w:r w:rsidR="008C70E9">
        <w:rPr>
          <w:rStyle w:val="FootnoteReference"/>
          <w:rFonts w:ascii="Times New Roman" w:hAnsi="Times New Roman" w:cs="Times New Roman"/>
        </w:rPr>
        <w:footnoteReference w:id="1"/>
      </w:r>
      <w:r w:rsidRPr="00DC4545">
        <w:rPr>
          <w:rFonts w:ascii="Times New Roman" w:hAnsi="Times New Roman" w:cs="Times New Roman"/>
        </w:rPr>
        <w:t xml:space="preserve"> (See Fig 2):</w:t>
      </w:r>
    </w:p>
    <w:p w14:paraId="277DF7F0" w:rsidR="00670F93"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Cloud</w:t>
      </w:r>
      <w:r w:rsidR="00FF6F52">
        <w:rPr>
          <w:rFonts w:ascii="Times New Roman" w:hAnsi="Times New Roman" w:cs="Times New Roman"/>
          <w:b/>
        </w:rPr>
        <w:t xml:space="preserve"> </w:t>
      </w:r>
      <w:r w:rsidRPr="00DC4545">
        <w:rPr>
          <w:rFonts w:ascii="Times New Roman" w:hAnsi="Times New Roman" w:cs="Times New Roman"/>
          <w:b/>
        </w:rPr>
        <w:t>Forest</w:t>
      </w:r>
      <w:r w:rsidR="00670F93">
        <w:rPr>
          <w:rFonts w:ascii="Times New Roman" w:hAnsi="Times New Roman" w:cs="Times New Roman"/>
          <w:b/>
        </w:rPr>
        <w:t xml:space="preserve"> </w:t>
      </w:r>
      <w:r w:rsidRPr="00DC4545">
        <w:rPr>
          <w:rFonts w:ascii="Times New Roman" w:hAnsi="Times New Roman" w:cs="Times New Roman"/>
        </w:rPr>
        <w:t xml:space="preserve">(montane thicket, palm break and elfin woodlands) – Generally these forests, located in the inaccessible upper areas of Grand Etang and on Mt. St. Catherine, have suffered little degradation and </w:t>
      </w:r>
      <w:r w:rsidR="00DA7C11">
        <w:rPr>
          <w:rFonts w:ascii="Times New Roman" w:hAnsi="Times New Roman" w:cs="Times New Roman"/>
        </w:rPr>
        <w:t xml:space="preserve">appear to be under no serious </w:t>
      </w:r>
      <w:r w:rsidRPr="00DC4545">
        <w:rPr>
          <w:rFonts w:ascii="Times New Roman" w:hAnsi="Times New Roman" w:cs="Times New Roman"/>
        </w:rPr>
        <w:t xml:space="preserve">threat from human land uses such as agriculture or urban developments; </w:t>
      </w:r>
    </w:p>
    <w:p w14:paraId="31E79E8B" w:rsidR="00670F93"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Rain Forest and Lower Montane Rain Forest</w:t>
      </w:r>
      <w:r w:rsidRPr="00DC4545">
        <w:rPr>
          <w:rFonts w:ascii="Times New Roman" w:hAnsi="Times New Roman" w:cs="Times New Roman"/>
        </w:rPr>
        <w:t xml:space="preserve"> – These forests occur below the cloud forests where rainfall exceeds 2500 mm per annum. There is little difference in floristic composition between the very tall rainforest proper and the less tall lower montane rainforest. They are largely located in the lower areas of Mt. St. Catherine and the best remnants are found in Grand Etang Forest Reserve; </w:t>
      </w:r>
    </w:p>
    <w:p w14:paraId="13744C14" w:rsidR="00670F93"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Evergreen and Semi-evergreen Forests</w:t>
      </w:r>
      <w:r w:rsidRPr="00DC4545">
        <w:rPr>
          <w:rFonts w:ascii="Times New Roman" w:hAnsi="Times New Roman" w:cs="Times New Roman"/>
        </w:rPr>
        <w:t xml:space="preserve"> – These forests occur where the rainfall is between </w:t>
      </w:r>
      <w:r w:rsidR="000F3D2E">
        <w:rPr>
          <w:rFonts w:ascii="Times New Roman" w:hAnsi="Times New Roman" w:cs="Times New Roman"/>
        </w:rPr>
        <w:t>2000 – 2500mm per annum.  A 40-</w:t>
      </w:r>
      <w:r w:rsidRPr="00DC4545">
        <w:rPr>
          <w:rFonts w:ascii="Times New Roman" w:hAnsi="Times New Roman" w:cs="Times New Roman"/>
        </w:rPr>
        <w:t xml:space="preserve">60 ha. area of this forest-type occurs at Morne Gazo in the south of the island, due to a ‘cloud track’ which causes more rain to fall in this area than expected; </w:t>
      </w:r>
    </w:p>
    <w:p w14:paraId="435D006C" w:rsidR="00670F93"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Deciduous Forest and Cactus Scrub</w:t>
      </w:r>
      <w:r w:rsidRPr="00DC4545">
        <w:rPr>
          <w:rFonts w:ascii="Times New Roman" w:hAnsi="Times New Roman" w:cs="Times New Roman"/>
        </w:rPr>
        <w:t xml:space="preserve"> – These occur at lower elevations where the rainfall is between 1000 – 2000 mm per annum, usually falling in a five month period. They are found in the south and north of the mainland </w:t>
      </w:r>
      <w:r w:rsidR="000F3D2E">
        <w:rPr>
          <w:rFonts w:ascii="Times New Roman" w:hAnsi="Times New Roman" w:cs="Times New Roman"/>
        </w:rPr>
        <w:t xml:space="preserve">of </w:t>
      </w:r>
      <w:r w:rsidRPr="00DC4545">
        <w:rPr>
          <w:rFonts w:ascii="Times New Roman" w:hAnsi="Times New Roman" w:cs="Times New Roman"/>
        </w:rPr>
        <w:t xml:space="preserve">Grenada and on Carriacou and Petite Martinique; </w:t>
      </w:r>
    </w:p>
    <w:p w14:paraId="7C5EA5A8" w:rsidR="00670F93"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Littoral Woodlands</w:t>
      </w:r>
      <w:r w:rsidRPr="00DC4545">
        <w:rPr>
          <w:rFonts w:ascii="Times New Roman" w:hAnsi="Times New Roman" w:cs="Times New Roman"/>
        </w:rPr>
        <w:t xml:space="preserve"> – These occur along the coast in small stretches and should be found in Grenada, Carriacou and Petite Martinique. However, most of this woodland has been lost, although a small patch </w:t>
      </w:r>
      <w:r w:rsidR="000F3D2E">
        <w:rPr>
          <w:rFonts w:ascii="Times New Roman" w:hAnsi="Times New Roman" w:cs="Times New Roman"/>
        </w:rPr>
        <w:t>still exists</w:t>
      </w:r>
      <w:r w:rsidRPr="00DC4545">
        <w:rPr>
          <w:rFonts w:ascii="Times New Roman" w:hAnsi="Times New Roman" w:cs="Times New Roman"/>
        </w:rPr>
        <w:t xml:space="preserve"> at the edge of Levera woodland in the north east of Grenada; </w:t>
      </w:r>
    </w:p>
    <w:p w14:paraId="77726F81" w:rsidR="00025771" w:rsidRDefault="00133632" w:rsidP="009616F7">
      <w:pPr>
        <w:spacing w:line="264" w:lineRule="auto"/>
        <w:ind w:left="360"/>
        <w:jc w:val="both"/>
        <w:rPr>
          <w:rFonts w:ascii="Times New Roman" w:hAnsi="Times New Roman" w:cs="Times New Roman"/>
        </w:rPr>
      </w:pPr>
      <w:r w:rsidRPr="00DC4545">
        <w:rPr>
          <w:rFonts w:ascii="Times New Roman" w:hAnsi="Times New Roman" w:cs="Times New Roman"/>
          <w:b/>
        </w:rPr>
        <w:t>Mangrove Woodlands</w:t>
      </w:r>
      <w:r w:rsidRPr="00DC4545">
        <w:rPr>
          <w:rFonts w:ascii="Times New Roman" w:hAnsi="Times New Roman" w:cs="Times New Roman"/>
        </w:rPr>
        <w:t xml:space="preserve"> – Grenada contains 21 patches of mangrove along the eastern coastline from Levera to Telescope, and along the south eastern coastline from Requin to True Blue, and on the north and south coasts of Carriacou. The largest are at Levera, Conference, Upper Pearls, Westerhall, Calivigny and Tyrrel Bay.  </w:t>
      </w:r>
    </w:p>
    <w:p w14:paraId="1AFA756C"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8C70E9">
        <w:rPr>
          <w:rFonts w:ascii="Times New Roman" w:hAnsi="Times New Roman" w:cs="Times New Roman"/>
        </w:rPr>
        <w:t>Grenada’s terrestrial wildlife is thought to consist of four amphibian species, eight species of lizards and five species of snake, 150 species of birds, of which 18 species are thought to be threatened or endangered, four native species of terrestrial</w:t>
      </w:r>
      <w:r w:rsidR="008C70E9">
        <w:rPr>
          <w:rFonts w:ascii="Times New Roman" w:hAnsi="Times New Roman" w:cs="Times New Roman"/>
        </w:rPr>
        <w:t xml:space="preserve"> mammals and 11 native species </w:t>
      </w:r>
      <w:r w:rsidRPr="008C70E9">
        <w:rPr>
          <w:rFonts w:ascii="Times New Roman" w:hAnsi="Times New Roman" w:cs="Times New Roman"/>
        </w:rPr>
        <w:t xml:space="preserve">of bats. </w:t>
      </w:r>
      <w:r w:rsidRPr="00DC4545">
        <w:rPr>
          <w:rFonts w:ascii="Times New Roman" w:hAnsi="Times New Roman" w:cs="Times New Roman"/>
        </w:rPr>
        <w:t xml:space="preserve">There is little information available on invertebrates in Grenada but several species of fresh-water shrimps and land crabs are noted. </w:t>
      </w:r>
      <w:r w:rsidR="00C50D42">
        <w:rPr>
          <w:rFonts w:ascii="Times New Roman" w:hAnsi="Times New Roman" w:cs="Times New Roman"/>
        </w:rPr>
        <w:t>There is o</w:t>
      </w:r>
      <w:r w:rsidRPr="00DC4545">
        <w:rPr>
          <w:rFonts w:ascii="Times New Roman" w:hAnsi="Times New Roman" w:cs="Times New Roman"/>
        </w:rPr>
        <w:t>ne possible endemic species of weevil (</w:t>
      </w:r>
      <w:r w:rsidRPr="00C50D42">
        <w:rPr>
          <w:rFonts w:ascii="Times New Roman" w:hAnsi="Times New Roman" w:cs="Times New Roman"/>
          <w:i/>
        </w:rPr>
        <w:t>Diaprepes sp</w:t>
      </w:r>
      <w:r w:rsidRPr="00DC4545">
        <w:rPr>
          <w:rFonts w:ascii="Times New Roman" w:hAnsi="Times New Roman" w:cs="Times New Roman"/>
        </w:rPr>
        <w:t>.)</w:t>
      </w:r>
      <w:r w:rsidR="004A3EE8" w:rsidRPr="004A3EE8">
        <w:rPr>
          <w:rStyle w:val="FootnoteReference"/>
          <w:rFonts w:ascii="Times New Roman" w:hAnsi="Times New Roman" w:cs="Times New Roman"/>
        </w:rPr>
        <w:t xml:space="preserve"> </w:t>
      </w:r>
      <w:r w:rsidR="004A3EE8">
        <w:rPr>
          <w:rStyle w:val="FootnoteReference"/>
          <w:rFonts w:ascii="Times New Roman" w:hAnsi="Times New Roman" w:cs="Times New Roman"/>
        </w:rPr>
        <w:footnoteReference w:id="2"/>
      </w:r>
      <w:r w:rsidRPr="00DC4545">
        <w:rPr>
          <w:rFonts w:ascii="Times New Roman" w:hAnsi="Times New Roman" w:cs="Times New Roman"/>
        </w:rPr>
        <w:t xml:space="preserve">. </w:t>
      </w:r>
    </w:p>
    <w:p w14:paraId="2A246EAE"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dry forest found in the south and north of the island is considered prime habitat for two endangered and endemic species of birds – the Grenada Dove </w:t>
      </w:r>
      <w:r w:rsidRPr="00A53745">
        <w:rPr>
          <w:rFonts w:ascii="Times New Roman" w:hAnsi="Times New Roman" w:cs="Times New Roman"/>
        </w:rPr>
        <w:t>(</w:t>
      </w:r>
      <w:r w:rsidRPr="00C50D42">
        <w:rPr>
          <w:rFonts w:ascii="Times New Roman" w:hAnsi="Times New Roman" w:cs="Times New Roman"/>
          <w:i/>
        </w:rPr>
        <w:t>Leptotila</w:t>
      </w:r>
      <w:r w:rsidR="00F70EF9" w:rsidRPr="00C50D42">
        <w:rPr>
          <w:rFonts w:ascii="Times New Roman" w:hAnsi="Times New Roman" w:cs="Times New Roman"/>
          <w:i/>
        </w:rPr>
        <w:t xml:space="preserve"> </w:t>
      </w:r>
      <w:r w:rsidRPr="00C50D42">
        <w:rPr>
          <w:rFonts w:ascii="Times New Roman" w:hAnsi="Times New Roman" w:cs="Times New Roman"/>
          <w:i/>
        </w:rPr>
        <w:t>wellsi</w:t>
      </w:r>
      <w:r w:rsidRPr="00A53745">
        <w:rPr>
          <w:rFonts w:ascii="Times New Roman" w:hAnsi="Times New Roman" w:cs="Times New Roman"/>
        </w:rPr>
        <w:t>)</w:t>
      </w:r>
      <w:r w:rsidRPr="00DC4545">
        <w:rPr>
          <w:rFonts w:ascii="Times New Roman" w:hAnsi="Times New Roman" w:cs="Times New Roman"/>
        </w:rPr>
        <w:t xml:space="preserve"> and the Grenada Hook-Billed Kite </w:t>
      </w:r>
      <w:r w:rsidRPr="00A53745">
        <w:rPr>
          <w:rFonts w:ascii="Times New Roman" w:hAnsi="Times New Roman" w:cs="Times New Roman"/>
        </w:rPr>
        <w:t>(</w:t>
      </w:r>
      <w:r w:rsidRPr="00C50D42">
        <w:rPr>
          <w:rFonts w:ascii="Times New Roman" w:hAnsi="Times New Roman" w:cs="Times New Roman"/>
          <w:i/>
        </w:rPr>
        <w:t>Chondrohierax</w:t>
      </w:r>
      <w:r w:rsidR="00FF6F52" w:rsidRPr="00C50D42">
        <w:rPr>
          <w:rFonts w:ascii="Times New Roman" w:hAnsi="Times New Roman" w:cs="Times New Roman"/>
          <w:i/>
        </w:rPr>
        <w:t xml:space="preserve"> </w:t>
      </w:r>
      <w:r w:rsidRPr="00C50D42">
        <w:rPr>
          <w:rFonts w:ascii="Times New Roman" w:hAnsi="Times New Roman" w:cs="Times New Roman"/>
          <w:i/>
        </w:rPr>
        <w:t>uncinatusmurus</w:t>
      </w:r>
      <w:r w:rsidRPr="00A53745">
        <w:rPr>
          <w:rFonts w:ascii="Times New Roman" w:hAnsi="Times New Roman" w:cs="Times New Roman"/>
        </w:rPr>
        <w:t>)</w:t>
      </w:r>
      <w:r w:rsidRPr="00DC4545">
        <w:rPr>
          <w:rFonts w:ascii="Times New Roman" w:hAnsi="Times New Roman" w:cs="Times New Roman"/>
        </w:rPr>
        <w:t xml:space="preserve">. Grenada is also home to four bird species which are endemic to the Lesser Antilles (CCA/GOG/USAID, 1991) –the Grenada flycatcher </w:t>
      </w:r>
      <w:r w:rsidRPr="00A53745">
        <w:rPr>
          <w:rFonts w:ascii="Times New Roman" w:hAnsi="Times New Roman" w:cs="Times New Roman"/>
        </w:rPr>
        <w:t>(</w:t>
      </w:r>
      <w:r w:rsidRPr="00C50D42">
        <w:rPr>
          <w:rFonts w:ascii="Times New Roman" w:hAnsi="Times New Roman" w:cs="Times New Roman"/>
          <w:i/>
        </w:rPr>
        <w:t>Myiarchus nugatory</w:t>
      </w:r>
      <w:r w:rsidRPr="00A53745">
        <w:rPr>
          <w:rFonts w:ascii="Times New Roman" w:hAnsi="Times New Roman" w:cs="Times New Roman"/>
        </w:rPr>
        <w:t>),</w:t>
      </w:r>
      <w:r w:rsidRPr="00DC4545">
        <w:rPr>
          <w:rFonts w:ascii="Times New Roman" w:hAnsi="Times New Roman" w:cs="Times New Roman"/>
        </w:rPr>
        <w:t xml:space="preserve"> the Scaly-breasted thrasher</w:t>
      </w:r>
      <w:r w:rsidR="00C50D42">
        <w:rPr>
          <w:rFonts w:ascii="Times New Roman" w:hAnsi="Times New Roman" w:cs="Times New Roman"/>
        </w:rPr>
        <w:t xml:space="preserve"> </w:t>
      </w:r>
      <w:r w:rsidRPr="00A53745">
        <w:rPr>
          <w:rFonts w:ascii="Times New Roman" w:hAnsi="Times New Roman" w:cs="Times New Roman"/>
        </w:rPr>
        <w:t>(</w:t>
      </w:r>
      <w:r w:rsidRPr="00C50D42">
        <w:rPr>
          <w:rFonts w:ascii="Times New Roman" w:hAnsi="Times New Roman" w:cs="Times New Roman"/>
          <w:i/>
        </w:rPr>
        <w:t>Margarop</w:t>
      </w:r>
      <w:r w:rsidR="00144644" w:rsidRPr="00C50D42">
        <w:rPr>
          <w:rFonts w:ascii="Times New Roman" w:hAnsi="Times New Roman" w:cs="Times New Roman"/>
          <w:i/>
        </w:rPr>
        <w:t>s</w:t>
      </w:r>
      <w:r w:rsidR="00F70EF9" w:rsidRPr="00C50D42">
        <w:rPr>
          <w:rFonts w:ascii="Times New Roman" w:hAnsi="Times New Roman" w:cs="Times New Roman"/>
          <w:i/>
        </w:rPr>
        <w:t xml:space="preserve"> </w:t>
      </w:r>
      <w:r w:rsidRPr="00C50D42">
        <w:rPr>
          <w:rFonts w:ascii="Times New Roman" w:hAnsi="Times New Roman" w:cs="Times New Roman"/>
          <w:i/>
        </w:rPr>
        <w:t>fuscus</w:t>
      </w:r>
      <w:r w:rsidRPr="00A53745">
        <w:rPr>
          <w:rFonts w:ascii="Times New Roman" w:hAnsi="Times New Roman" w:cs="Times New Roman"/>
        </w:rPr>
        <w:t>),</w:t>
      </w:r>
      <w:r w:rsidRPr="00DC4545">
        <w:rPr>
          <w:rFonts w:ascii="Times New Roman" w:hAnsi="Times New Roman" w:cs="Times New Roman"/>
        </w:rPr>
        <w:t xml:space="preserve"> the Lesser Antillean bullfinch </w:t>
      </w:r>
      <w:r w:rsidRPr="00A53745">
        <w:rPr>
          <w:rFonts w:ascii="Times New Roman" w:hAnsi="Times New Roman" w:cs="Times New Roman"/>
        </w:rPr>
        <w:t>(</w:t>
      </w:r>
      <w:r w:rsidRPr="00C50D42">
        <w:rPr>
          <w:rFonts w:ascii="Times New Roman" w:hAnsi="Times New Roman" w:cs="Times New Roman"/>
          <w:i/>
        </w:rPr>
        <w:t>Loxigilla</w:t>
      </w:r>
      <w:r w:rsidR="00F70EF9" w:rsidRPr="00C50D42">
        <w:rPr>
          <w:rFonts w:ascii="Times New Roman" w:hAnsi="Times New Roman" w:cs="Times New Roman"/>
          <w:i/>
        </w:rPr>
        <w:t xml:space="preserve"> </w:t>
      </w:r>
      <w:r w:rsidRPr="00C50D42">
        <w:rPr>
          <w:rFonts w:ascii="Times New Roman" w:hAnsi="Times New Roman" w:cs="Times New Roman"/>
          <w:i/>
        </w:rPr>
        <w:t>noctis</w:t>
      </w:r>
      <w:r w:rsidRPr="00A53745">
        <w:rPr>
          <w:rFonts w:ascii="Times New Roman" w:hAnsi="Times New Roman" w:cs="Times New Roman"/>
        </w:rPr>
        <w:t>)</w:t>
      </w:r>
      <w:r w:rsidRPr="00DC4545">
        <w:rPr>
          <w:rFonts w:ascii="Times New Roman" w:hAnsi="Times New Roman" w:cs="Times New Roman"/>
        </w:rPr>
        <w:t xml:space="preserve">, and the Lesser Antillean Tanager </w:t>
      </w:r>
      <w:r w:rsidRPr="00A53745">
        <w:rPr>
          <w:rFonts w:ascii="Times New Roman" w:hAnsi="Times New Roman" w:cs="Times New Roman"/>
        </w:rPr>
        <w:t>(</w:t>
      </w:r>
      <w:r w:rsidRPr="00C50D42">
        <w:rPr>
          <w:rFonts w:ascii="Times New Roman" w:hAnsi="Times New Roman" w:cs="Times New Roman"/>
          <w:i/>
        </w:rPr>
        <w:t>Geochelome</w:t>
      </w:r>
      <w:r w:rsidR="00F70EF9" w:rsidRPr="00C50D42">
        <w:rPr>
          <w:rFonts w:ascii="Times New Roman" w:hAnsi="Times New Roman" w:cs="Times New Roman"/>
          <w:i/>
        </w:rPr>
        <w:t xml:space="preserve"> </w:t>
      </w:r>
      <w:r w:rsidRPr="00C50D42">
        <w:rPr>
          <w:rFonts w:ascii="Times New Roman" w:hAnsi="Times New Roman" w:cs="Times New Roman"/>
          <w:i/>
        </w:rPr>
        <w:t>carbonaria</w:t>
      </w:r>
      <w:r w:rsidRPr="00A53745">
        <w:rPr>
          <w:rFonts w:ascii="Times New Roman" w:hAnsi="Times New Roman" w:cs="Times New Roman"/>
        </w:rPr>
        <w:t>)</w:t>
      </w:r>
      <w:r w:rsidRPr="00DC4545">
        <w:rPr>
          <w:rFonts w:ascii="Times New Roman" w:hAnsi="Times New Roman" w:cs="Times New Roman"/>
        </w:rPr>
        <w:t xml:space="preserve"> (CCA/GOG/USAID, 1991). Several species have become extinct in Grenada since the arrival of the Europeans, including the Manatee (</w:t>
      </w:r>
      <w:r w:rsidRPr="00C50D42">
        <w:rPr>
          <w:rFonts w:ascii="Times New Roman" w:hAnsi="Times New Roman" w:cs="Times New Roman"/>
          <w:i/>
        </w:rPr>
        <w:t>Tricheu</w:t>
      </w:r>
      <w:r w:rsidR="00F70EF9" w:rsidRPr="00C50D42">
        <w:rPr>
          <w:rFonts w:ascii="Times New Roman" w:hAnsi="Times New Roman" w:cs="Times New Roman"/>
          <w:i/>
        </w:rPr>
        <w:t xml:space="preserve"> </w:t>
      </w:r>
      <w:r w:rsidRPr="00C50D42">
        <w:rPr>
          <w:rFonts w:ascii="Times New Roman" w:hAnsi="Times New Roman" w:cs="Times New Roman"/>
          <w:i/>
        </w:rPr>
        <w:t>smanatus</w:t>
      </w:r>
      <w:r w:rsidRPr="00A53745">
        <w:rPr>
          <w:rFonts w:ascii="Times New Roman" w:hAnsi="Times New Roman" w:cs="Times New Roman"/>
        </w:rPr>
        <w:t>)</w:t>
      </w:r>
      <w:r w:rsidRPr="00DC4545">
        <w:rPr>
          <w:rFonts w:ascii="Times New Roman" w:hAnsi="Times New Roman" w:cs="Times New Roman"/>
        </w:rPr>
        <w:t xml:space="preserve">, the Grenada parrot </w:t>
      </w:r>
      <w:r w:rsidRPr="00A53745">
        <w:rPr>
          <w:rFonts w:ascii="Times New Roman" w:hAnsi="Times New Roman" w:cs="Times New Roman"/>
        </w:rPr>
        <w:t>(</w:t>
      </w:r>
      <w:r w:rsidRPr="00C50D42">
        <w:rPr>
          <w:rFonts w:ascii="Times New Roman" w:hAnsi="Times New Roman" w:cs="Times New Roman"/>
          <w:i/>
        </w:rPr>
        <w:t>Amazona sp</w:t>
      </w:r>
      <w:r w:rsidRPr="00A53745">
        <w:rPr>
          <w:rFonts w:ascii="Times New Roman" w:hAnsi="Times New Roman" w:cs="Times New Roman"/>
        </w:rPr>
        <w:t>.)</w:t>
      </w:r>
      <w:r w:rsidRPr="00DC4545">
        <w:rPr>
          <w:rFonts w:ascii="Times New Roman" w:hAnsi="Times New Roman" w:cs="Times New Roman"/>
        </w:rPr>
        <w:t xml:space="preserve">, the Agouti </w:t>
      </w:r>
      <w:r w:rsidRPr="00A53745">
        <w:rPr>
          <w:rFonts w:ascii="Times New Roman" w:hAnsi="Times New Roman" w:cs="Times New Roman"/>
        </w:rPr>
        <w:t>(</w:t>
      </w:r>
      <w:r w:rsidRPr="00C50D42">
        <w:rPr>
          <w:rFonts w:ascii="Times New Roman" w:hAnsi="Times New Roman" w:cs="Times New Roman"/>
          <w:i/>
        </w:rPr>
        <w:t>Dasyprocta</w:t>
      </w:r>
      <w:r w:rsidR="00F70EF9" w:rsidRPr="00C50D42">
        <w:rPr>
          <w:rFonts w:ascii="Times New Roman" w:hAnsi="Times New Roman" w:cs="Times New Roman"/>
          <w:i/>
        </w:rPr>
        <w:t xml:space="preserve"> </w:t>
      </w:r>
      <w:r w:rsidRPr="00C50D42">
        <w:rPr>
          <w:rFonts w:ascii="Times New Roman" w:hAnsi="Times New Roman" w:cs="Times New Roman"/>
          <w:i/>
        </w:rPr>
        <w:t>albida</w:t>
      </w:r>
      <w:r w:rsidRPr="00A53745">
        <w:rPr>
          <w:rFonts w:ascii="Times New Roman" w:hAnsi="Times New Roman" w:cs="Times New Roman"/>
        </w:rPr>
        <w:t>),</w:t>
      </w:r>
      <w:r w:rsidR="00C50D42">
        <w:rPr>
          <w:rFonts w:ascii="Times New Roman" w:hAnsi="Times New Roman" w:cs="Times New Roman"/>
        </w:rPr>
        <w:t xml:space="preserve"> </w:t>
      </w:r>
      <w:r w:rsidRPr="00DC4545">
        <w:rPr>
          <w:rFonts w:ascii="Times New Roman" w:hAnsi="Times New Roman" w:cs="Times New Roman"/>
        </w:rPr>
        <w:t xml:space="preserve">Neuweid’s Moon Snake </w:t>
      </w:r>
      <w:r w:rsidRPr="00A53745">
        <w:rPr>
          <w:rFonts w:ascii="Times New Roman" w:hAnsi="Times New Roman" w:cs="Times New Roman"/>
        </w:rPr>
        <w:t>(</w:t>
      </w:r>
      <w:r w:rsidRPr="00C50D42">
        <w:rPr>
          <w:rFonts w:ascii="Times New Roman" w:hAnsi="Times New Roman" w:cs="Times New Roman"/>
          <w:i/>
        </w:rPr>
        <w:t>Pseudoboa</w:t>
      </w:r>
      <w:r w:rsidR="00F70EF9" w:rsidRPr="00C50D42">
        <w:rPr>
          <w:rFonts w:ascii="Times New Roman" w:hAnsi="Times New Roman" w:cs="Times New Roman"/>
          <w:i/>
        </w:rPr>
        <w:t xml:space="preserve"> </w:t>
      </w:r>
      <w:r w:rsidRPr="00C50D42">
        <w:rPr>
          <w:rFonts w:ascii="Times New Roman" w:hAnsi="Times New Roman" w:cs="Times New Roman"/>
          <w:i/>
        </w:rPr>
        <w:t>neuweidi</w:t>
      </w:r>
      <w:r w:rsidRPr="00A53745">
        <w:rPr>
          <w:rFonts w:ascii="Times New Roman" w:hAnsi="Times New Roman" w:cs="Times New Roman"/>
        </w:rPr>
        <w:t>)</w:t>
      </w:r>
      <w:r w:rsidRPr="00DC4545">
        <w:rPr>
          <w:rFonts w:ascii="Times New Roman" w:hAnsi="Times New Roman" w:cs="Times New Roman"/>
        </w:rPr>
        <w:t xml:space="preserve"> Shaw’s Racer </w:t>
      </w:r>
      <w:r w:rsidRPr="00A53745">
        <w:rPr>
          <w:rFonts w:ascii="Times New Roman" w:hAnsi="Times New Roman" w:cs="Times New Roman"/>
        </w:rPr>
        <w:t>(</w:t>
      </w:r>
      <w:r w:rsidRPr="00C50D42">
        <w:rPr>
          <w:rFonts w:ascii="Times New Roman" w:hAnsi="Times New Roman" w:cs="Times New Roman"/>
          <w:i/>
        </w:rPr>
        <w:t>Liophis</w:t>
      </w:r>
      <w:r w:rsidR="00F70EF9" w:rsidRPr="00C50D42">
        <w:rPr>
          <w:rFonts w:ascii="Times New Roman" w:hAnsi="Times New Roman" w:cs="Times New Roman"/>
          <w:i/>
        </w:rPr>
        <w:t xml:space="preserve"> </w:t>
      </w:r>
      <w:r w:rsidRPr="00C50D42">
        <w:rPr>
          <w:rFonts w:ascii="Times New Roman" w:hAnsi="Times New Roman" w:cs="Times New Roman"/>
          <w:i/>
        </w:rPr>
        <w:t>melanotus</w:t>
      </w:r>
      <w:r w:rsidRPr="00A53745">
        <w:rPr>
          <w:rFonts w:ascii="Times New Roman" w:hAnsi="Times New Roman" w:cs="Times New Roman"/>
        </w:rPr>
        <w:t>)</w:t>
      </w:r>
      <w:r w:rsidRPr="00DC4545">
        <w:rPr>
          <w:rFonts w:ascii="Times New Roman" w:hAnsi="Times New Roman" w:cs="Times New Roman"/>
        </w:rPr>
        <w:t xml:space="preserve"> and the Morocoy Tortoise </w:t>
      </w:r>
      <w:r w:rsidRPr="00A53745">
        <w:rPr>
          <w:rFonts w:ascii="Times New Roman" w:hAnsi="Times New Roman" w:cs="Times New Roman"/>
        </w:rPr>
        <w:t>(</w:t>
      </w:r>
      <w:r w:rsidRPr="00C50D42">
        <w:rPr>
          <w:rFonts w:ascii="Times New Roman" w:hAnsi="Times New Roman" w:cs="Times New Roman"/>
          <w:i/>
        </w:rPr>
        <w:t>Geochelonecarbonaria</w:t>
      </w:r>
      <w:r w:rsidRPr="00A53745">
        <w:rPr>
          <w:rFonts w:ascii="Times New Roman" w:hAnsi="Times New Roman" w:cs="Times New Roman"/>
        </w:rPr>
        <w:t xml:space="preserve">) </w:t>
      </w:r>
      <w:r w:rsidRPr="00DC4545">
        <w:rPr>
          <w:rFonts w:ascii="Times New Roman" w:hAnsi="Times New Roman" w:cs="Times New Roman"/>
        </w:rPr>
        <w:t>(CCA/GOG/USAID, 1991). A list of species found in Grenada is given by Groome (1970), but this may have been incomplete when written, and some of the species mentioned may no longer exist. Other studies such as Blockstein (1991) and Glen (1994) provide detailed data about the Grenada Dove</w:t>
      </w:r>
      <w:r w:rsidR="00C50D42">
        <w:rPr>
          <w:rFonts w:ascii="Times New Roman" w:hAnsi="Times New Roman" w:cs="Times New Roman"/>
        </w:rPr>
        <w:t xml:space="preserve"> </w:t>
      </w:r>
      <w:r w:rsidRPr="00A53745">
        <w:rPr>
          <w:rFonts w:ascii="Times New Roman" w:hAnsi="Times New Roman" w:cs="Times New Roman"/>
        </w:rPr>
        <w:t>(</w:t>
      </w:r>
      <w:r w:rsidRPr="00C50D42">
        <w:rPr>
          <w:rFonts w:ascii="Times New Roman" w:hAnsi="Times New Roman" w:cs="Times New Roman"/>
          <w:i/>
        </w:rPr>
        <w:t>Leptotila</w:t>
      </w:r>
      <w:r w:rsidR="00F70EF9" w:rsidRPr="00C50D42">
        <w:rPr>
          <w:rFonts w:ascii="Times New Roman" w:hAnsi="Times New Roman" w:cs="Times New Roman"/>
          <w:i/>
        </w:rPr>
        <w:t xml:space="preserve"> </w:t>
      </w:r>
      <w:r w:rsidRPr="00C50D42">
        <w:rPr>
          <w:rFonts w:ascii="Times New Roman" w:hAnsi="Times New Roman" w:cs="Times New Roman"/>
          <w:i/>
        </w:rPr>
        <w:t>wellsi</w:t>
      </w:r>
      <w:r w:rsidRPr="00A53745">
        <w:rPr>
          <w:rFonts w:ascii="Times New Roman" w:hAnsi="Times New Roman" w:cs="Times New Roman"/>
        </w:rPr>
        <w:t>)</w:t>
      </w:r>
      <w:r w:rsidRPr="00DC4545">
        <w:rPr>
          <w:rFonts w:ascii="Times New Roman" w:hAnsi="Times New Roman" w:cs="Times New Roman"/>
        </w:rPr>
        <w:t xml:space="preserve"> and the Mona Monkey </w:t>
      </w:r>
      <w:r w:rsidRPr="00A53745">
        <w:rPr>
          <w:rFonts w:ascii="Times New Roman" w:hAnsi="Times New Roman" w:cs="Times New Roman"/>
        </w:rPr>
        <w:t>(</w:t>
      </w:r>
      <w:r w:rsidRPr="00C50D42">
        <w:rPr>
          <w:rFonts w:ascii="Times New Roman" w:hAnsi="Times New Roman" w:cs="Times New Roman"/>
          <w:i/>
        </w:rPr>
        <w:t>Cercoithicus</w:t>
      </w:r>
      <w:r w:rsidR="00F70EF9" w:rsidRPr="00C50D42">
        <w:rPr>
          <w:rFonts w:ascii="Times New Roman" w:hAnsi="Times New Roman" w:cs="Times New Roman"/>
          <w:i/>
        </w:rPr>
        <w:t xml:space="preserve"> </w:t>
      </w:r>
      <w:r w:rsidRPr="00C50D42">
        <w:rPr>
          <w:rFonts w:ascii="Times New Roman" w:hAnsi="Times New Roman" w:cs="Times New Roman"/>
          <w:i/>
        </w:rPr>
        <w:t>monadenti</w:t>
      </w:r>
      <w:r w:rsidRPr="00A53745">
        <w:rPr>
          <w:rFonts w:ascii="Times New Roman" w:hAnsi="Times New Roman" w:cs="Times New Roman"/>
        </w:rPr>
        <w:t>)</w:t>
      </w:r>
      <w:r w:rsidRPr="00DC4545">
        <w:rPr>
          <w:rFonts w:ascii="Times New Roman" w:hAnsi="Times New Roman" w:cs="Times New Roman"/>
        </w:rPr>
        <w:t xml:space="preserve"> respectively. </w:t>
      </w:r>
    </w:p>
    <w:p w14:paraId="7EE6FBF8" w:rsidR="00DF1CD8"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Currently the most important nesting areas for Grenada seabirds are the unpopulated islets between Grenada and Carriacou; especially the islands close to Isle De Ronde. Boobies are by far the most important species group and significant rookeries are to found at “Gwizo” (near Isle De Ronde), Les Tantes and “Upper Rock” with some at “Le Rock”. Significant numbers of Frigate Birds called “Scissors-Tail” are resident at Sandy and Green Islands. All these birds depend on schools of anchovies and various fry (Pischet) very common at the Isle De Ronde zone.</w:t>
      </w:r>
      <w:r w:rsidR="007E69CB">
        <w:rPr>
          <w:rStyle w:val="FootnoteReference"/>
          <w:rFonts w:ascii="Times New Roman" w:hAnsi="Times New Roman" w:cs="Times New Roman"/>
        </w:rPr>
        <w:footnoteReference w:id="3"/>
      </w:r>
      <w:r w:rsidR="00025771">
        <w:rPr>
          <w:rFonts w:ascii="Times New Roman" w:hAnsi="Times New Roman" w:cs="Times New Roman"/>
        </w:rPr>
        <w:t xml:space="preserve"> </w:t>
      </w:r>
      <w:r w:rsidRPr="00DC4545">
        <w:rPr>
          <w:rFonts w:ascii="Times New Roman" w:hAnsi="Times New Roman" w:cs="Times New Roman"/>
        </w:rPr>
        <w:t xml:space="preserve">Notably, although fishermen and other poachers target the young (fat chested) boobies and Ramier for food, populations have remained vibrant over the years (pers. Comm. B. Calliste, current fisherman). Ramier, </w:t>
      </w:r>
      <w:r w:rsidRPr="00A53745">
        <w:rPr>
          <w:rFonts w:ascii="Times New Roman" w:hAnsi="Times New Roman" w:cs="Times New Roman"/>
        </w:rPr>
        <w:t>Columba squamosa</w:t>
      </w:r>
      <w:r w:rsidRPr="00DC4545">
        <w:rPr>
          <w:rFonts w:ascii="Times New Roman" w:hAnsi="Times New Roman" w:cs="Times New Roman"/>
        </w:rPr>
        <w:t xml:space="preserve"> seems to nest in the rocks among the boobies. </w:t>
      </w:r>
      <w:r w:rsidR="007E69CB">
        <w:rPr>
          <w:rFonts w:ascii="Times New Roman" w:hAnsi="Times New Roman" w:cs="Times New Roman"/>
        </w:rPr>
        <w:t>V</w:t>
      </w:r>
      <w:r w:rsidR="007E69CB" w:rsidRPr="007E69CB">
        <w:rPr>
          <w:rFonts w:ascii="Times New Roman" w:hAnsi="Times New Roman" w:cs="Times New Roman"/>
        </w:rPr>
        <w:t xml:space="preserve">arious species of birds </w:t>
      </w:r>
      <w:r w:rsidR="007E69CB">
        <w:rPr>
          <w:rFonts w:ascii="Times New Roman" w:hAnsi="Times New Roman" w:cs="Times New Roman"/>
        </w:rPr>
        <w:t xml:space="preserve">embark on </w:t>
      </w:r>
      <w:r w:rsidRPr="00DC4545">
        <w:rPr>
          <w:rFonts w:ascii="Times New Roman" w:hAnsi="Times New Roman" w:cs="Times New Roman"/>
        </w:rPr>
        <w:t xml:space="preserve">daily migration patterns between the main islands (Levera area) the islands </w:t>
      </w:r>
      <w:r w:rsidR="00C50D42">
        <w:rPr>
          <w:rFonts w:ascii="Times New Roman" w:hAnsi="Times New Roman" w:cs="Times New Roman"/>
        </w:rPr>
        <w:t>of Sugar Loaf, Green and Sandy I</w:t>
      </w:r>
      <w:r w:rsidRPr="00DC4545">
        <w:rPr>
          <w:rFonts w:ascii="Times New Roman" w:hAnsi="Times New Roman" w:cs="Times New Roman"/>
        </w:rPr>
        <w:t>sland</w:t>
      </w:r>
      <w:r w:rsidR="007E69CB">
        <w:rPr>
          <w:rStyle w:val="FootnoteReference"/>
          <w:rFonts w:ascii="Times New Roman" w:hAnsi="Times New Roman" w:cs="Times New Roman"/>
        </w:rPr>
        <w:footnoteReference w:id="4"/>
      </w:r>
      <w:r w:rsidRPr="00DC4545">
        <w:rPr>
          <w:rFonts w:ascii="Times New Roman" w:hAnsi="Times New Roman" w:cs="Times New Roman"/>
        </w:rPr>
        <w:t>.</w:t>
      </w:r>
      <w:r w:rsidR="007E69CB">
        <w:rPr>
          <w:rFonts w:ascii="Times New Roman" w:hAnsi="Times New Roman" w:cs="Times New Roman"/>
        </w:rPr>
        <w:t xml:space="preserve"> </w:t>
      </w:r>
    </w:p>
    <w:p w14:paraId="683660B9" w:rsidR="00DF1CD8" w:rsidRDefault="007E69CB"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With regards to introduced species,</w:t>
      </w:r>
      <w:r w:rsidR="00133632" w:rsidRPr="00DC4545">
        <w:rPr>
          <w:rFonts w:ascii="Times New Roman" w:hAnsi="Times New Roman" w:cs="Times New Roman"/>
        </w:rPr>
        <w:t xml:space="preserve"> during colonial times the mongoose (</w:t>
      </w:r>
      <w:r w:rsidR="00133632" w:rsidRPr="00732DFD">
        <w:rPr>
          <w:rFonts w:ascii="Times New Roman" w:hAnsi="Times New Roman" w:cs="Times New Roman"/>
          <w:i/>
        </w:rPr>
        <w:t>Herpestesaur</w:t>
      </w:r>
      <w:r w:rsidR="00CA6959" w:rsidRPr="00732DFD">
        <w:rPr>
          <w:rFonts w:ascii="Times New Roman" w:hAnsi="Times New Roman" w:cs="Times New Roman"/>
          <w:i/>
        </w:rPr>
        <w:t xml:space="preserve"> </w:t>
      </w:r>
      <w:r w:rsidR="00133632" w:rsidRPr="00732DFD">
        <w:rPr>
          <w:rFonts w:ascii="Times New Roman" w:hAnsi="Times New Roman" w:cs="Times New Roman"/>
          <w:i/>
        </w:rPr>
        <w:t>opunctatus</w:t>
      </w:r>
      <w:r w:rsidR="00133632" w:rsidRPr="00DC4545">
        <w:rPr>
          <w:rFonts w:ascii="Times New Roman" w:hAnsi="Times New Roman" w:cs="Times New Roman"/>
        </w:rPr>
        <w:t xml:space="preserve">) </w:t>
      </w:r>
      <w:r>
        <w:rPr>
          <w:rFonts w:ascii="Times New Roman" w:hAnsi="Times New Roman" w:cs="Times New Roman"/>
        </w:rPr>
        <w:t xml:space="preserve">was brought in </w:t>
      </w:r>
      <w:r w:rsidR="00133632" w:rsidRPr="00DC4545">
        <w:rPr>
          <w:rFonts w:ascii="Times New Roman" w:hAnsi="Times New Roman" w:cs="Times New Roman"/>
        </w:rPr>
        <w:t xml:space="preserve">for </w:t>
      </w:r>
      <w:r>
        <w:rPr>
          <w:rFonts w:ascii="Times New Roman" w:hAnsi="Times New Roman" w:cs="Times New Roman"/>
        </w:rPr>
        <w:t>snake</w:t>
      </w:r>
      <w:r w:rsidR="00133632" w:rsidRPr="00DC4545">
        <w:rPr>
          <w:rFonts w:ascii="Times New Roman" w:hAnsi="Times New Roman" w:cs="Times New Roman"/>
        </w:rPr>
        <w:t xml:space="preserve"> control and the Mona monkey </w:t>
      </w:r>
      <w:r w:rsidR="00133632" w:rsidRPr="00A53745">
        <w:rPr>
          <w:rFonts w:ascii="Times New Roman" w:hAnsi="Times New Roman" w:cs="Times New Roman"/>
        </w:rPr>
        <w:t>(</w:t>
      </w:r>
      <w:r w:rsidR="00133632" w:rsidRPr="00732DFD">
        <w:rPr>
          <w:rFonts w:ascii="Times New Roman" w:hAnsi="Times New Roman" w:cs="Times New Roman"/>
          <w:i/>
        </w:rPr>
        <w:t>Cercoithicus</w:t>
      </w:r>
      <w:r w:rsidR="00CA6959" w:rsidRPr="00732DFD">
        <w:rPr>
          <w:rFonts w:ascii="Times New Roman" w:hAnsi="Times New Roman" w:cs="Times New Roman"/>
          <w:i/>
        </w:rPr>
        <w:t xml:space="preserve"> </w:t>
      </w:r>
      <w:r w:rsidR="00133632" w:rsidRPr="00732DFD">
        <w:rPr>
          <w:rFonts w:ascii="Times New Roman" w:hAnsi="Times New Roman" w:cs="Times New Roman"/>
          <w:i/>
        </w:rPr>
        <w:t>monadenti</w:t>
      </w:r>
      <w:r w:rsidR="00133632" w:rsidRPr="00A53745">
        <w:rPr>
          <w:rFonts w:ascii="Times New Roman" w:hAnsi="Times New Roman" w:cs="Times New Roman"/>
        </w:rPr>
        <w:t xml:space="preserve">) </w:t>
      </w:r>
      <w:r w:rsidR="00133632" w:rsidRPr="00DC4545">
        <w:rPr>
          <w:rFonts w:ascii="Times New Roman" w:hAnsi="Times New Roman" w:cs="Times New Roman"/>
        </w:rPr>
        <w:t xml:space="preserve">as pets. The Mongoose is now considered a pest and the Mona monkey has become a tourist attraction particularly in Grand Etang Forest Reserve. </w:t>
      </w:r>
    </w:p>
    <w:p w14:paraId="0D0F1A3F" w:rsidR="00DF1CD8"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Fresh wa</w:t>
      </w:r>
      <w:r w:rsidR="007E69CB">
        <w:rPr>
          <w:rFonts w:ascii="Times New Roman" w:hAnsi="Times New Roman" w:cs="Times New Roman"/>
        </w:rPr>
        <w:t>ter animals, ranging from fish</w:t>
      </w:r>
      <w:r w:rsidRPr="00DC4545">
        <w:rPr>
          <w:rFonts w:ascii="Times New Roman" w:hAnsi="Times New Roman" w:cs="Times New Roman"/>
        </w:rPr>
        <w:t xml:space="preserve"> to snails to insects and worms can be found in Grenada</w:t>
      </w:r>
      <w:r w:rsidR="00956797">
        <w:rPr>
          <w:rFonts w:ascii="Times New Roman" w:hAnsi="Times New Roman" w:cs="Times New Roman"/>
        </w:rPr>
        <w:t>, but n</w:t>
      </w:r>
      <w:r w:rsidRPr="00DC4545">
        <w:rPr>
          <w:rFonts w:ascii="Times New Roman" w:hAnsi="Times New Roman" w:cs="Times New Roman"/>
        </w:rPr>
        <w:t xml:space="preserve">ot much is known or documented on </w:t>
      </w:r>
      <w:r w:rsidR="00956797">
        <w:rPr>
          <w:rFonts w:ascii="Times New Roman" w:hAnsi="Times New Roman" w:cs="Times New Roman"/>
        </w:rPr>
        <w:t>them</w:t>
      </w:r>
      <w:r w:rsidRPr="00DC4545">
        <w:rPr>
          <w:rFonts w:ascii="Times New Roman" w:hAnsi="Times New Roman" w:cs="Times New Roman"/>
        </w:rPr>
        <w:t>. The most extensive listing of marine and fresh water fish fauna for Grenada is provided by the International Centre for Living Aquatic Resource Management (ICLARM, 1998</w:t>
      </w:r>
      <w:r w:rsidR="00956797">
        <w:rPr>
          <w:rFonts w:ascii="Times New Roman" w:hAnsi="Times New Roman" w:cs="Times New Roman"/>
        </w:rPr>
        <w:t>):</w:t>
      </w:r>
      <w:r w:rsidRPr="00DC4545">
        <w:rPr>
          <w:rFonts w:ascii="Times New Roman" w:hAnsi="Times New Roman" w:cs="Times New Roman"/>
        </w:rPr>
        <w:t xml:space="preserve"> 233 marine species, 69 marine/brackish water species and 17 species for fresh water. </w:t>
      </w:r>
      <w:r w:rsidR="00956797">
        <w:rPr>
          <w:rFonts w:ascii="Times New Roman" w:hAnsi="Times New Roman" w:cs="Times New Roman"/>
        </w:rPr>
        <w:t>F</w:t>
      </w:r>
      <w:r w:rsidR="00956797" w:rsidRPr="00DC4545">
        <w:rPr>
          <w:rFonts w:ascii="Times New Roman" w:hAnsi="Times New Roman" w:cs="Times New Roman"/>
        </w:rPr>
        <w:t>resh water fishes include: Tete</w:t>
      </w:r>
      <w:r w:rsidR="00956797">
        <w:rPr>
          <w:rFonts w:ascii="Times New Roman" w:hAnsi="Times New Roman" w:cs="Times New Roman"/>
        </w:rPr>
        <w:t xml:space="preserve"> </w:t>
      </w:r>
      <w:r w:rsidR="00956797" w:rsidRPr="00DC4545">
        <w:rPr>
          <w:rFonts w:ascii="Times New Roman" w:hAnsi="Times New Roman" w:cs="Times New Roman"/>
        </w:rPr>
        <w:t>chien or Yoca, Tititree or Suckstone</w:t>
      </w:r>
      <w:r w:rsidR="00956797">
        <w:rPr>
          <w:rFonts w:ascii="Times New Roman" w:hAnsi="Times New Roman" w:cs="Times New Roman"/>
        </w:rPr>
        <w:t xml:space="preserve"> </w:t>
      </w:r>
      <w:r w:rsidR="00956797" w:rsidRPr="00A53745">
        <w:rPr>
          <w:rFonts w:ascii="Times New Roman" w:hAnsi="Times New Roman" w:cs="Times New Roman"/>
        </w:rPr>
        <w:t>(</w:t>
      </w:r>
      <w:r w:rsidR="00956797" w:rsidRPr="00956797">
        <w:rPr>
          <w:rFonts w:ascii="Times New Roman" w:hAnsi="Times New Roman" w:cs="Times New Roman"/>
          <w:i/>
        </w:rPr>
        <w:t>Sicydium plumieri</w:t>
      </w:r>
      <w:r w:rsidR="00956797" w:rsidRPr="00A53745">
        <w:rPr>
          <w:rFonts w:ascii="Times New Roman" w:hAnsi="Times New Roman" w:cs="Times New Roman"/>
        </w:rPr>
        <w:t>);</w:t>
      </w:r>
      <w:r w:rsidR="00956797" w:rsidRPr="00DC4545">
        <w:rPr>
          <w:rFonts w:ascii="Times New Roman" w:hAnsi="Times New Roman" w:cs="Times New Roman"/>
        </w:rPr>
        <w:t xml:space="preserve"> Mullet</w:t>
      </w:r>
      <w:r w:rsidR="00956797">
        <w:rPr>
          <w:rFonts w:ascii="Times New Roman" w:hAnsi="Times New Roman" w:cs="Times New Roman"/>
        </w:rPr>
        <w:t xml:space="preserve"> </w:t>
      </w:r>
      <w:r w:rsidR="00956797" w:rsidRPr="00A53745">
        <w:rPr>
          <w:rFonts w:ascii="Times New Roman" w:hAnsi="Times New Roman" w:cs="Times New Roman"/>
        </w:rPr>
        <w:t>(</w:t>
      </w:r>
      <w:r w:rsidR="00956797" w:rsidRPr="00956797">
        <w:rPr>
          <w:rFonts w:ascii="Times New Roman" w:hAnsi="Times New Roman" w:cs="Times New Roman"/>
          <w:i/>
        </w:rPr>
        <w:t>Agnostromus monticola</w:t>
      </w:r>
      <w:r w:rsidR="00956797" w:rsidRPr="00A53745">
        <w:rPr>
          <w:rFonts w:ascii="Times New Roman" w:hAnsi="Times New Roman" w:cs="Times New Roman"/>
        </w:rPr>
        <w:t>)</w:t>
      </w:r>
      <w:r w:rsidR="00956797" w:rsidRPr="00DC4545">
        <w:rPr>
          <w:rFonts w:ascii="Times New Roman" w:hAnsi="Times New Roman" w:cs="Times New Roman"/>
        </w:rPr>
        <w:t>, Mullet</w:t>
      </w:r>
      <w:r w:rsidR="00956797">
        <w:rPr>
          <w:rFonts w:ascii="Times New Roman" w:hAnsi="Times New Roman" w:cs="Times New Roman"/>
        </w:rPr>
        <w:t xml:space="preserve"> </w:t>
      </w:r>
      <w:r w:rsidR="00956797" w:rsidRPr="00A53745">
        <w:rPr>
          <w:rFonts w:ascii="Times New Roman" w:hAnsi="Times New Roman" w:cs="Times New Roman"/>
        </w:rPr>
        <w:t>(</w:t>
      </w:r>
      <w:r w:rsidR="00956797" w:rsidRPr="00956797">
        <w:rPr>
          <w:rFonts w:ascii="Times New Roman" w:hAnsi="Times New Roman" w:cs="Times New Roman"/>
          <w:i/>
        </w:rPr>
        <w:t>Mugil sp</w:t>
      </w:r>
      <w:r w:rsidR="00956797" w:rsidRPr="00A53745">
        <w:rPr>
          <w:rFonts w:ascii="Times New Roman" w:hAnsi="Times New Roman" w:cs="Times New Roman"/>
        </w:rPr>
        <w:t>)</w:t>
      </w:r>
      <w:r w:rsidR="00956797" w:rsidRPr="00DC4545">
        <w:rPr>
          <w:rFonts w:ascii="Times New Roman" w:hAnsi="Times New Roman" w:cs="Times New Roman"/>
        </w:rPr>
        <w:t>, Zandomay</w:t>
      </w:r>
      <w:r w:rsidR="00956797">
        <w:rPr>
          <w:rFonts w:ascii="Times New Roman" w:hAnsi="Times New Roman" w:cs="Times New Roman"/>
        </w:rPr>
        <w:t xml:space="preserve"> </w:t>
      </w:r>
      <w:r w:rsidR="00956797" w:rsidRPr="00A53745">
        <w:rPr>
          <w:rFonts w:ascii="Times New Roman" w:hAnsi="Times New Roman" w:cs="Times New Roman"/>
        </w:rPr>
        <w:t>(</w:t>
      </w:r>
      <w:r w:rsidR="00956797" w:rsidRPr="00956797">
        <w:rPr>
          <w:rFonts w:ascii="Times New Roman" w:hAnsi="Times New Roman" w:cs="Times New Roman"/>
          <w:i/>
        </w:rPr>
        <w:t>Eleotris sp</w:t>
      </w:r>
      <w:r w:rsidR="00956797" w:rsidRPr="00A53745">
        <w:rPr>
          <w:rFonts w:ascii="Times New Roman" w:hAnsi="Times New Roman" w:cs="Times New Roman"/>
        </w:rPr>
        <w:t>)</w:t>
      </w:r>
      <w:r w:rsidR="00956797" w:rsidRPr="00DC4545">
        <w:rPr>
          <w:rFonts w:ascii="Times New Roman" w:hAnsi="Times New Roman" w:cs="Times New Roman"/>
        </w:rPr>
        <w:t xml:space="preserve">, River Coco </w:t>
      </w:r>
      <w:r w:rsidR="00956797" w:rsidRPr="00A53745">
        <w:rPr>
          <w:rFonts w:ascii="Times New Roman" w:hAnsi="Times New Roman" w:cs="Times New Roman"/>
        </w:rPr>
        <w:t>(</w:t>
      </w:r>
      <w:r w:rsidR="00956797" w:rsidRPr="00956797">
        <w:rPr>
          <w:rFonts w:ascii="Times New Roman" w:hAnsi="Times New Roman" w:cs="Times New Roman"/>
          <w:i/>
        </w:rPr>
        <w:t>Centroporanus sp</w:t>
      </w:r>
      <w:r w:rsidR="00956797" w:rsidRPr="00A53745">
        <w:rPr>
          <w:rFonts w:ascii="Times New Roman" w:hAnsi="Times New Roman" w:cs="Times New Roman"/>
        </w:rPr>
        <w:t>)</w:t>
      </w:r>
      <w:r w:rsidR="00956797" w:rsidRPr="00DC4545">
        <w:rPr>
          <w:rFonts w:ascii="Times New Roman" w:hAnsi="Times New Roman" w:cs="Times New Roman"/>
        </w:rPr>
        <w:t xml:space="preserve">, </w:t>
      </w:r>
      <w:r w:rsidR="00956797" w:rsidRPr="00A53745">
        <w:rPr>
          <w:rFonts w:ascii="Times New Roman" w:hAnsi="Times New Roman" w:cs="Times New Roman"/>
        </w:rPr>
        <w:t>Tilapia (</w:t>
      </w:r>
      <w:r w:rsidR="00956797" w:rsidRPr="00956797">
        <w:rPr>
          <w:rFonts w:ascii="Times New Roman" w:hAnsi="Times New Roman" w:cs="Times New Roman"/>
          <w:i/>
        </w:rPr>
        <w:t>Tilapia mosambica</w:t>
      </w:r>
      <w:r w:rsidR="00956797" w:rsidRPr="00A53745">
        <w:rPr>
          <w:rFonts w:ascii="Times New Roman" w:hAnsi="Times New Roman" w:cs="Times New Roman"/>
        </w:rPr>
        <w:t xml:space="preserve"> and </w:t>
      </w:r>
      <w:r w:rsidR="00956797" w:rsidRPr="00956797">
        <w:rPr>
          <w:rFonts w:ascii="Times New Roman" w:hAnsi="Times New Roman" w:cs="Times New Roman"/>
          <w:i/>
        </w:rPr>
        <w:t>T. nilotica</w:t>
      </w:r>
      <w:r w:rsidR="00956797" w:rsidRPr="00A53745">
        <w:rPr>
          <w:rFonts w:ascii="Times New Roman" w:hAnsi="Times New Roman" w:cs="Times New Roman"/>
        </w:rPr>
        <w:t>)</w:t>
      </w:r>
      <w:r w:rsidR="00956797" w:rsidRPr="00DC4545">
        <w:rPr>
          <w:rFonts w:ascii="Times New Roman" w:hAnsi="Times New Roman" w:cs="Times New Roman"/>
        </w:rPr>
        <w:t xml:space="preserve">, Guppy or millions </w:t>
      </w:r>
      <w:r w:rsidR="00956797" w:rsidRPr="00A53745">
        <w:rPr>
          <w:rFonts w:ascii="Times New Roman" w:hAnsi="Times New Roman" w:cs="Times New Roman"/>
        </w:rPr>
        <w:t>(</w:t>
      </w:r>
      <w:r w:rsidR="00956797" w:rsidRPr="00956797">
        <w:rPr>
          <w:rFonts w:ascii="Times New Roman" w:hAnsi="Times New Roman" w:cs="Times New Roman"/>
          <w:i/>
        </w:rPr>
        <w:t>Gambusia sp</w:t>
      </w:r>
      <w:r w:rsidR="00956797" w:rsidRPr="00A53745">
        <w:rPr>
          <w:rFonts w:ascii="Times New Roman" w:hAnsi="Times New Roman" w:cs="Times New Roman"/>
        </w:rPr>
        <w:t xml:space="preserve">, </w:t>
      </w:r>
      <w:r w:rsidR="00956797">
        <w:rPr>
          <w:rFonts w:ascii="Times New Roman" w:hAnsi="Times New Roman" w:cs="Times New Roman"/>
          <w:i/>
        </w:rPr>
        <w:t>Poecillia</w:t>
      </w:r>
      <w:r w:rsidR="00956797" w:rsidRPr="00956797">
        <w:rPr>
          <w:rFonts w:ascii="Times New Roman" w:hAnsi="Times New Roman" w:cs="Times New Roman"/>
          <w:i/>
        </w:rPr>
        <w:t xml:space="preserve"> reticulate</w:t>
      </w:r>
      <w:r w:rsidR="00956797" w:rsidRPr="00A53745">
        <w:rPr>
          <w:rFonts w:ascii="Times New Roman" w:hAnsi="Times New Roman" w:cs="Times New Roman"/>
        </w:rPr>
        <w:t>)</w:t>
      </w:r>
      <w:r w:rsidR="00956797">
        <w:rPr>
          <w:rFonts w:ascii="Times New Roman" w:hAnsi="Times New Roman" w:cs="Times New Roman"/>
        </w:rPr>
        <w:t>,</w:t>
      </w:r>
      <w:r w:rsidR="00956797" w:rsidRPr="00DC4545">
        <w:rPr>
          <w:rFonts w:ascii="Times New Roman" w:hAnsi="Times New Roman" w:cs="Times New Roman"/>
        </w:rPr>
        <w:t xml:space="preserve"> and Sword tail (</w:t>
      </w:r>
      <w:r w:rsidR="00956797" w:rsidRPr="00956797">
        <w:rPr>
          <w:rFonts w:ascii="Times New Roman" w:hAnsi="Times New Roman" w:cs="Times New Roman"/>
          <w:i/>
        </w:rPr>
        <w:t>Xiphophoru shelleri</w:t>
      </w:r>
      <w:r w:rsidR="00956797" w:rsidRPr="00A53745">
        <w:rPr>
          <w:rFonts w:ascii="Times New Roman" w:hAnsi="Times New Roman" w:cs="Times New Roman"/>
        </w:rPr>
        <w:t>)</w:t>
      </w:r>
      <w:r w:rsidR="00956797">
        <w:rPr>
          <w:rFonts w:ascii="Times New Roman" w:hAnsi="Times New Roman" w:cs="Times New Roman"/>
        </w:rPr>
        <w:t>,</w:t>
      </w:r>
      <w:r w:rsidR="00956797" w:rsidRPr="00DC4545">
        <w:rPr>
          <w:rFonts w:ascii="Times New Roman" w:hAnsi="Times New Roman" w:cs="Times New Roman"/>
        </w:rPr>
        <w:t xml:space="preserve"> among others. </w:t>
      </w:r>
      <w:r w:rsidRPr="00DC4545">
        <w:rPr>
          <w:rFonts w:ascii="Times New Roman" w:hAnsi="Times New Roman" w:cs="Times New Roman"/>
        </w:rPr>
        <w:t>Records of fish landings classified the range of marine species into pelagic finfish, demersal finfish, crustaceans and shell fish and then unclassified fish (mainly demersals). The near s</w:t>
      </w:r>
      <w:r w:rsidR="00956797">
        <w:rPr>
          <w:rFonts w:ascii="Times New Roman" w:hAnsi="Times New Roman" w:cs="Times New Roman"/>
        </w:rPr>
        <w:t>hore and offshore ocean provides</w:t>
      </w:r>
      <w:r w:rsidRPr="00DC4545">
        <w:rPr>
          <w:rFonts w:ascii="Times New Roman" w:hAnsi="Times New Roman" w:cs="Times New Roman"/>
        </w:rPr>
        <w:t xml:space="preserve"> Yellow-fin Tunas, Oceangar</w:t>
      </w:r>
      <w:r w:rsidR="00956797">
        <w:rPr>
          <w:rFonts w:ascii="Times New Roman" w:hAnsi="Times New Roman" w:cs="Times New Roman"/>
        </w:rPr>
        <w:t xml:space="preserve"> </w:t>
      </w:r>
      <w:r w:rsidRPr="00DC4545">
        <w:rPr>
          <w:rFonts w:ascii="Times New Roman" w:hAnsi="Times New Roman" w:cs="Times New Roman"/>
        </w:rPr>
        <w:t>(sailfish), Marl</w:t>
      </w:r>
      <w:r w:rsidR="00144644">
        <w:rPr>
          <w:rFonts w:ascii="Times New Roman" w:hAnsi="Times New Roman" w:cs="Times New Roman"/>
        </w:rPr>
        <w:t>in, Dolphin fish, and King fish</w:t>
      </w:r>
      <w:r w:rsidR="00956797">
        <w:rPr>
          <w:rFonts w:ascii="Times New Roman" w:hAnsi="Times New Roman" w:cs="Times New Roman"/>
        </w:rPr>
        <w:t xml:space="preserve"> among others; mainly scads,</w:t>
      </w:r>
      <w:r w:rsidRPr="00DC4545">
        <w:rPr>
          <w:rFonts w:ascii="Times New Roman" w:hAnsi="Times New Roman" w:cs="Times New Roman"/>
        </w:rPr>
        <w:t xml:space="preserve"> </w:t>
      </w:r>
      <w:r w:rsidR="00956797" w:rsidRPr="00DC4545">
        <w:rPr>
          <w:rFonts w:ascii="Times New Roman" w:hAnsi="Times New Roman" w:cs="Times New Roman"/>
        </w:rPr>
        <w:t>i.e.</w:t>
      </w:r>
      <w:r w:rsidRPr="00DC4545">
        <w:rPr>
          <w:rFonts w:ascii="Times New Roman" w:hAnsi="Times New Roman" w:cs="Times New Roman"/>
        </w:rPr>
        <w:t xml:space="preserve"> jacks and robins</w:t>
      </w:r>
      <w:r w:rsidR="00956797">
        <w:rPr>
          <w:rFonts w:ascii="Times New Roman" w:hAnsi="Times New Roman" w:cs="Times New Roman"/>
        </w:rPr>
        <w:t>,</w:t>
      </w:r>
      <w:r w:rsidRPr="00DC4545">
        <w:rPr>
          <w:rFonts w:ascii="Times New Roman" w:hAnsi="Times New Roman" w:cs="Times New Roman"/>
        </w:rPr>
        <w:t xml:space="preserve"> are harvested by beach seines very close to shore when such fish come off the ocean deep on a daily basis</w:t>
      </w:r>
      <w:r w:rsidR="00956797">
        <w:rPr>
          <w:rStyle w:val="FootnoteReference"/>
          <w:rFonts w:ascii="Times New Roman" w:hAnsi="Times New Roman" w:cs="Times New Roman"/>
        </w:rPr>
        <w:footnoteReference w:id="5"/>
      </w:r>
      <w:r w:rsidRPr="00DC4545">
        <w:rPr>
          <w:rFonts w:ascii="Times New Roman" w:hAnsi="Times New Roman" w:cs="Times New Roman"/>
        </w:rPr>
        <w:t xml:space="preserve">. Crustaceans and other shellfish such as lobsters, turtles and conch (lambi), </w:t>
      </w:r>
      <w:r w:rsidR="00956797">
        <w:rPr>
          <w:rFonts w:ascii="Times New Roman" w:hAnsi="Times New Roman" w:cs="Times New Roman"/>
        </w:rPr>
        <w:t>a</w:t>
      </w:r>
      <w:r w:rsidRPr="00DC4545">
        <w:rPr>
          <w:rFonts w:ascii="Times New Roman" w:hAnsi="Times New Roman" w:cs="Times New Roman"/>
        </w:rPr>
        <w:t xml:space="preserve">re traditionally harvested by divers in significant quantities. </w:t>
      </w:r>
    </w:p>
    <w:p w14:paraId="40D37A70" w:rsidR="00DF1CD8"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three coastal habitats that are important for maintaining G</w:t>
      </w:r>
      <w:r w:rsidR="00DF1CD8">
        <w:rPr>
          <w:rFonts w:ascii="Times New Roman" w:hAnsi="Times New Roman" w:cs="Times New Roman"/>
        </w:rPr>
        <w:t>renada’s near shore fishery are</w:t>
      </w:r>
      <w:r w:rsidRPr="00DC4545">
        <w:rPr>
          <w:rFonts w:ascii="Times New Roman" w:hAnsi="Times New Roman" w:cs="Times New Roman"/>
        </w:rPr>
        <w:t>: the mangrove swamps, sea grass beds and coral reefs. Mangrove ecosystems provide substrate for marine organisms, feeding and breeding</w:t>
      </w:r>
      <w:r w:rsidR="00DC3966">
        <w:rPr>
          <w:rFonts w:ascii="Times New Roman" w:hAnsi="Times New Roman" w:cs="Times New Roman"/>
        </w:rPr>
        <w:t>,</w:t>
      </w:r>
      <w:r w:rsidRPr="00DC4545">
        <w:rPr>
          <w:rFonts w:ascii="Times New Roman" w:hAnsi="Times New Roman" w:cs="Times New Roman"/>
        </w:rPr>
        <w:t xml:space="preserve"> foraging</w:t>
      </w:r>
      <w:r w:rsidR="00DC3966">
        <w:rPr>
          <w:rFonts w:ascii="Times New Roman" w:hAnsi="Times New Roman" w:cs="Times New Roman"/>
        </w:rPr>
        <w:t>,</w:t>
      </w:r>
      <w:r w:rsidRPr="00DC4545">
        <w:rPr>
          <w:rFonts w:ascii="Times New Roman" w:hAnsi="Times New Roman" w:cs="Times New Roman"/>
        </w:rPr>
        <w:t xml:space="preserve"> and refuge areas for </w:t>
      </w:r>
      <w:r w:rsidR="00DC3966">
        <w:rPr>
          <w:rFonts w:ascii="Times New Roman" w:hAnsi="Times New Roman" w:cs="Times New Roman"/>
        </w:rPr>
        <w:t>many commercial species and act</w:t>
      </w:r>
      <w:r w:rsidRPr="00DC4545">
        <w:rPr>
          <w:rFonts w:ascii="Times New Roman" w:hAnsi="Times New Roman" w:cs="Times New Roman"/>
        </w:rPr>
        <w:t xml:space="preserve"> as nurseries for their offspring. </w:t>
      </w:r>
      <w:r w:rsidR="00FB1157" w:rsidRPr="00DC4545">
        <w:rPr>
          <w:rFonts w:ascii="Times New Roman" w:hAnsi="Times New Roman" w:cs="Times New Roman"/>
        </w:rPr>
        <w:t xml:space="preserve">A very good example of mangrove vegetation exists at Levera Pond, St. Patrick and at Harvey Vale Carriacou. Other areas include Conference/ Pearls area and the bays between St. David and Prickly Bay on the south coast off the island. The main species of mangrove include red mangrove </w:t>
      </w:r>
      <w:r w:rsidR="00FB1157" w:rsidRPr="00A53745">
        <w:rPr>
          <w:rFonts w:ascii="Times New Roman" w:hAnsi="Times New Roman" w:cs="Times New Roman"/>
        </w:rPr>
        <w:t>(</w:t>
      </w:r>
      <w:r w:rsidR="00FB1157" w:rsidRPr="00FB1157">
        <w:rPr>
          <w:rFonts w:ascii="Times New Roman" w:hAnsi="Times New Roman" w:cs="Times New Roman"/>
          <w:i/>
        </w:rPr>
        <w:t>Rhizophora mangle</w:t>
      </w:r>
      <w:r w:rsidR="00FB1157" w:rsidRPr="00A53745">
        <w:rPr>
          <w:rFonts w:ascii="Times New Roman" w:hAnsi="Times New Roman" w:cs="Times New Roman"/>
        </w:rPr>
        <w:t>),</w:t>
      </w:r>
      <w:r w:rsidR="00FB1157" w:rsidRPr="00DC4545">
        <w:rPr>
          <w:rFonts w:ascii="Times New Roman" w:hAnsi="Times New Roman" w:cs="Times New Roman"/>
        </w:rPr>
        <w:t xml:space="preserve"> black mangrove </w:t>
      </w:r>
      <w:r w:rsidR="00FB1157" w:rsidRPr="00A53745">
        <w:rPr>
          <w:rFonts w:ascii="Times New Roman" w:hAnsi="Times New Roman" w:cs="Times New Roman"/>
        </w:rPr>
        <w:t>(</w:t>
      </w:r>
      <w:r w:rsidR="00FB1157" w:rsidRPr="00FB1157">
        <w:rPr>
          <w:rFonts w:ascii="Times New Roman" w:hAnsi="Times New Roman" w:cs="Times New Roman"/>
          <w:i/>
        </w:rPr>
        <w:t>Avicennia germinans</w:t>
      </w:r>
      <w:r w:rsidR="00FB1157" w:rsidRPr="00A53745">
        <w:rPr>
          <w:rFonts w:ascii="Times New Roman" w:hAnsi="Times New Roman" w:cs="Times New Roman"/>
        </w:rPr>
        <w:t>)</w:t>
      </w:r>
      <w:r w:rsidR="00FB1157" w:rsidRPr="00DC4545">
        <w:rPr>
          <w:rFonts w:ascii="Times New Roman" w:hAnsi="Times New Roman" w:cs="Times New Roman"/>
        </w:rPr>
        <w:t xml:space="preserve">, white mangrove </w:t>
      </w:r>
      <w:r w:rsidR="00FB1157" w:rsidRPr="00A53745">
        <w:rPr>
          <w:rFonts w:ascii="Times New Roman" w:hAnsi="Times New Roman" w:cs="Times New Roman"/>
        </w:rPr>
        <w:t>(</w:t>
      </w:r>
      <w:r w:rsidR="00FB1157" w:rsidRPr="00FB1157">
        <w:rPr>
          <w:rFonts w:ascii="Times New Roman" w:hAnsi="Times New Roman" w:cs="Times New Roman"/>
          <w:i/>
        </w:rPr>
        <w:t>Laguncularia  racemosa</w:t>
      </w:r>
      <w:r w:rsidR="00FB1157" w:rsidRPr="00A53745">
        <w:rPr>
          <w:rFonts w:ascii="Times New Roman" w:hAnsi="Times New Roman" w:cs="Times New Roman"/>
        </w:rPr>
        <w:t>)</w:t>
      </w:r>
      <w:r w:rsidR="00FB1157" w:rsidRPr="00DC4545">
        <w:rPr>
          <w:rFonts w:ascii="Times New Roman" w:hAnsi="Times New Roman" w:cs="Times New Roman"/>
        </w:rPr>
        <w:t xml:space="preserve"> and button-wood </w:t>
      </w:r>
      <w:r w:rsidR="00FB1157" w:rsidRPr="00A53745">
        <w:rPr>
          <w:rFonts w:ascii="Times New Roman" w:hAnsi="Times New Roman" w:cs="Times New Roman"/>
        </w:rPr>
        <w:t>(</w:t>
      </w:r>
      <w:r w:rsidR="00FB1157" w:rsidRPr="00FB1157">
        <w:rPr>
          <w:rFonts w:ascii="Times New Roman" w:hAnsi="Times New Roman" w:cs="Times New Roman"/>
          <w:i/>
        </w:rPr>
        <w:t>Conocarpus erectus</w:t>
      </w:r>
      <w:r w:rsidR="00FB1157" w:rsidRPr="00A53745">
        <w:rPr>
          <w:rFonts w:ascii="Times New Roman" w:hAnsi="Times New Roman" w:cs="Times New Roman"/>
        </w:rPr>
        <w:t>)</w:t>
      </w:r>
      <w:r w:rsidR="00FB1157">
        <w:rPr>
          <w:rFonts w:ascii="Times New Roman" w:hAnsi="Times New Roman" w:cs="Times New Roman"/>
        </w:rPr>
        <w:t xml:space="preserve">. </w:t>
      </w:r>
      <w:r w:rsidRPr="00DC4545">
        <w:rPr>
          <w:rFonts w:ascii="Times New Roman" w:hAnsi="Times New Roman" w:cs="Times New Roman"/>
        </w:rPr>
        <w:t>Sea grass beds act as a transition point and ecosystem Energy Bridge between mangrove communities and the reef system and fishing grounds. Marine turtles</w:t>
      </w:r>
      <w:r w:rsidR="00FB1157">
        <w:rPr>
          <w:rFonts w:ascii="Times New Roman" w:hAnsi="Times New Roman" w:cs="Times New Roman"/>
        </w:rPr>
        <w:t xml:space="preserve">, e.g. </w:t>
      </w:r>
      <w:r w:rsidRPr="00DC4545">
        <w:rPr>
          <w:rFonts w:ascii="Times New Roman" w:hAnsi="Times New Roman" w:cs="Times New Roman"/>
        </w:rPr>
        <w:t>Atlant</w:t>
      </w:r>
      <w:r w:rsidR="00FB1157">
        <w:rPr>
          <w:rFonts w:ascii="Times New Roman" w:hAnsi="Times New Roman" w:cs="Times New Roman"/>
        </w:rPr>
        <w:t>ic Green Turtles,</w:t>
      </w:r>
      <w:r w:rsidRPr="00DC4545">
        <w:rPr>
          <w:rFonts w:ascii="Times New Roman" w:hAnsi="Times New Roman" w:cs="Times New Roman"/>
        </w:rPr>
        <w:t xml:space="preserve"> depend on healthy sea grass communities as a source of food. Coral reefs provide excellent shelter for some resident and transient species (to offshore fishing grounds) as well as substrate for algae and other organisms which form part of</w:t>
      </w:r>
      <w:r w:rsidR="00FB1157">
        <w:rPr>
          <w:rFonts w:ascii="Times New Roman" w:hAnsi="Times New Roman" w:cs="Times New Roman"/>
        </w:rPr>
        <w:t xml:space="preserve"> a rather complex food web</w:t>
      </w:r>
      <w:r w:rsidRPr="00A53745">
        <w:rPr>
          <w:rFonts w:ascii="Times New Roman" w:hAnsi="Times New Roman" w:cs="Times New Roman"/>
        </w:rPr>
        <w:t>.</w:t>
      </w:r>
      <w:r w:rsidRPr="00DC4545">
        <w:rPr>
          <w:rFonts w:ascii="Times New Roman" w:hAnsi="Times New Roman" w:cs="Times New Roman"/>
        </w:rPr>
        <w:t xml:space="preserve"> </w:t>
      </w:r>
    </w:p>
    <w:p w14:paraId="0807BC22"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rest of the coastal area is considered dry woodland and cactus shrub made up of a mixture of species including </w:t>
      </w:r>
      <w:r w:rsidRPr="00FB1157">
        <w:rPr>
          <w:rFonts w:ascii="Times New Roman" w:hAnsi="Times New Roman" w:cs="Times New Roman"/>
          <w:i/>
        </w:rPr>
        <w:t>Ipomeas p.</w:t>
      </w:r>
      <w:r w:rsidRPr="00DC4545">
        <w:rPr>
          <w:rFonts w:ascii="Times New Roman" w:hAnsi="Times New Roman" w:cs="Times New Roman"/>
        </w:rPr>
        <w:t xml:space="preserve"> in some sandy beach areas, sea grape </w:t>
      </w:r>
      <w:r w:rsidRPr="00A53745">
        <w:rPr>
          <w:rFonts w:ascii="Times New Roman" w:hAnsi="Times New Roman" w:cs="Times New Roman"/>
        </w:rPr>
        <w:t>(</w:t>
      </w:r>
      <w:r w:rsidRPr="00FB1157">
        <w:rPr>
          <w:rFonts w:ascii="Times New Roman" w:hAnsi="Times New Roman" w:cs="Times New Roman"/>
          <w:i/>
        </w:rPr>
        <w:t>Cocolobauvifera</w:t>
      </w:r>
      <w:r w:rsidRPr="00A53745">
        <w:rPr>
          <w:rFonts w:ascii="Times New Roman" w:hAnsi="Times New Roman" w:cs="Times New Roman"/>
        </w:rPr>
        <w:t>),</w:t>
      </w:r>
      <w:r w:rsidRPr="00DC4545">
        <w:rPr>
          <w:rFonts w:ascii="Times New Roman" w:hAnsi="Times New Roman" w:cs="Times New Roman"/>
        </w:rPr>
        <w:t xml:space="preserve"> coconuts</w:t>
      </w:r>
      <w:r w:rsidR="00FB1157">
        <w:rPr>
          <w:rFonts w:ascii="Times New Roman" w:hAnsi="Times New Roman" w:cs="Times New Roman"/>
        </w:rPr>
        <w:t xml:space="preserve"> </w:t>
      </w:r>
      <w:r w:rsidRPr="00A53745">
        <w:rPr>
          <w:rFonts w:ascii="Times New Roman" w:hAnsi="Times New Roman" w:cs="Times New Roman"/>
        </w:rPr>
        <w:t>(</w:t>
      </w:r>
      <w:r w:rsidRPr="00FB1157">
        <w:rPr>
          <w:rFonts w:ascii="Times New Roman" w:hAnsi="Times New Roman" w:cs="Times New Roman"/>
          <w:i/>
        </w:rPr>
        <w:t>Cocos</w:t>
      </w:r>
      <w:r w:rsidR="008C4EB0" w:rsidRPr="00FB1157">
        <w:rPr>
          <w:rFonts w:ascii="Times New Roman" w:hAnsi="Times New Roman" w:cs="Times New Roman"/>
          <w:i/>
        </w:rPr>
        <w:t xml:space="preserve"> </w:t>
      </w:r>
      <w:r w:rsidRPr="00FB1157">
        <w:rPr>
          <w:rFonts w:ascii="Times New Roman" w:hAnsi="Times New Roman" w:cs="Times New Roman"/>
          <w:i/>
        </w:rPr>
        <w:t>nucifera</w:t>
      </w:r>
      <w:r w:rsidRPr="00A53745">
        <w:rPr>
          <w:rFonts w:ascii="Times New Roman" w:hAnsi="Times New Roman" w:cs="Times New Roman"/>
        </w:rPr>
        <w:t>),</w:t>
      </w:r>
      <w:r w:rsidRPr="00DC4545">
        <w:rPr>
          <w:rFonts w:ascii="Times New Roman" w:hAnsi="Times New Roman" w:cs="Times New Roman"/>
        </w:rPr>
        <w:t xml:space="preserve"> almond </w:t>
      </w:r>
      <w:r w:rsidRPr="00A53745">
        <w:rPr>
          <w:rFonts w:ascii="Times New Roman" w:hAnsi="Times New Roman" w:cs="Times New Roman"/>
        </w:rPr>
        <w:t>(</w:t>
      </w:r>
      <w:r w:rsidRPr="00FB1157">
        <w:rPr>
          <w:rFonts w:ascii="Times New Roman" w:hAnsi="Times New Roman" w:cs="Times New Roman"/>
          <w:i/>
        </w:rPr>
        <w:t>Terminali</w:t>
      </w:r>
      <w:r w:rsidR="008C4EB0" w:rsidRPr="00FB1157">
        <w:rPr>
          <w:rFonts w:ascii="Times New Roman" w:hAnsi="Times New Roman" w:cs="Times New Roman"/>
          <w:i/>
        </w:rPr>
        <w:t xml:space="preserve"> </w:t>
      </w:r>
      <w:r w:rsidRPr="00FB1157">
        <w:rPr>
          <w:rFonts w:ascii="Times New Roman" w:hAnsi="Times New Roman" w:cs="Times New Roman"/>
          <w:i/>
        </w:rPr>
        <w:t>acattapa</w:t>
      </w:r>
      <w:r w:rsidRPr="00A53745">
        <w:rPr>
          <w:rFonts w:ascii="Times New Roman" w:hAnsi="Times New Roman" w:cs="Times New Roman"/>
        </w:rPr>
        <w:t>)</w:t>
      </w:r>
      <w:r w:rsidRPr="00DC4545">
        <w:rPr>
          <w:rFonts w:ascii="Times New Roman" w:hAnsi="Times New Roman" w:cs="Times New Roman"/>
        </w:rPr>
        <w:t xml:space="preserve"> and manchi</w:t>
      </w:r>
      <w:r w:rsidR="008C4EB0">
        <w:rPr>
          <w:rFonts w:ascii="Times New Roman" w:hAnsi="Times New Roman" w:cs="Times New Roman"/>
        </w:rPr>
        <w:t>o</w:t>
      </w:r>
      <w:r w:rsidRPr="00DC4545">
        <w:rPr>
          <w:rFonts w:ascii="Times New Roman" w:hAnsi="Times New Roman" w:cs="Times New Roman"/>
        </w:rPr>
        <w:t>neel</w:t>
      </w:r>
      <w:r w:rsidR="008C4EB0">
        <w:rPr>
          <w:rFonts w:ascii="Times New Roman" w:hAnsi="Times New Roman" w:cs="Times New Roman"/>
        </w:rPr>
        <w:t xml:space="preserve"> </w:t>
      </w:r>
      <w:r w:rsidRPr="00A53745">
        <w:rPr>
          <w:rFonts w:ascii="Times New Roman" w:hAnsi="Times New Roman" w:cs="Times New Roman"/>
        </w:rPr>
        <w:t>(</w:t>
      </w:r>
      <w:r w:rsidRPr="00FB1157">
        <w:rPr>
          <w:rFonts w:ascii="Times New Roman" w:hAnsi="Times New Roman" w:cs="Times New Roman"/>
          <w:i/>
        </w:rPr>
        <w:t>Hippomane</w:t>
      </w:r>
      <w:r w:rsidR="008C4EB0" w:rsidRPr="00FB1157">
        <w:rPr>
          <w:rFonts w:ascii="Times New Roman" w:hAnsi="Times New Roman" w:cs="Times New Roman"/>
          <w:i/>
        </w:rPr>
        <w:t xml:space="preserve"> </w:t>
      </w:r>
      <w:r w:rsidRPr="00FB1157">
        <w:rPr>
          <w:rFonts w:ascii="Times New Roman" w:hAnsi="Times New Roman" w:cs="Times New Roman"/>
          <w:i/>
        </w:rPr>
        <w:t>mancinella</w:t>
      </w:r>
      <w:r w:rsidRPr="00A53745">
        <w:rPr>
          <w:rFonts w:ascii="Times New Roman" w:hAnsi="Times New Roman" w:cs="Times New Roman"/>
        </w:rPr>
        <w:t xml:space="preserve">). </w:t>
      </w:r>
      <w:r w:rsidRPr="00DC4545">
        <w:rPr>
          <w:rFonts w:ascii="Times New Roman" w:hAnsi="Times New Roman" w:cs="Times New Roman"/>
        </w:rPr>
        <w:t>Marine plants include sea grass communities in the Telescope area and within the barrier type reef extending from Grenville Bay to Prickly Bay in the south; at Carriacou in the L’Esterre Bay and Machineel Bay and within the reef at North Bay, Isle De Ronde. Th</w:t>
      </w:r>
      <w:r w:rsidR="00FB1157">
        <w:rPr>
          <w:rFonts w:ascii="Times New Roman" w:hAnsi="Times New Roman" w:cs="Times New Roman"/>
        </w:rPr>
        <w:t>e main species are turtle grass</w:t>
      </w:r>
      <w:r w:rsidRPr="00DC4545">
        <w:rPr>
          <w:rFonts w:ascii="Times New Roman" w:hAnsi="Times New Roman" w:cs="Times New Roman"/>
        </w:rPr>
        <w:t xml:space="preserve"> </w:t>
      </w:r>
      <w:r w:rsidR="00FB1157">
        <w:rPr>
          <w:rFonts w:ascii="Times New Roman" w:hAnsi="Times New Roman" w:cs="Times New Roman"/>
        </w:rPr>
        <w:t>(</w:t>
      </w:r>
      <w:r w:rsidRPr="00FB1157">
        <w:rPr>
          <w:rFonts w:ascii="Times New Roman" w:hAnsi="Times New Roman" w:cs="Times New Roman"/>
          <w:i/>
        </w:rPr>
        <w:t>Thalassia</w:t>
      </w:r>
      <w:r w:rsidR="008C4EB0" w:rsidRPr="00FB1157">
        <w:rPr>
          <w:rFonts w:ascii="Times New Roman" w:hAnsi="Times New Roman" w:cs="Times New Roman"/>
          <w:i/>
        </w:rPr>
        <w:t xml:space="preserve"> </w:t>
      </w:r>
      <w:r w:rsidRPr="00FB1157">
        <w:rPr>
          <w:rFonts w:ascii="Times New Roman" w:hAnsi="Times New Roman" w:cs="Times New Roman"/>
          <w:i/>
        </w:rPr>
        <w:t>testudinum</w:t>
      </w:r>
      <w:r w:rsidR="00FB1157">
        <w:rPr>
          <w:rFonts w:ascii="Times New Roman" w:hAnsi="Times New Roman" w:cs="Times New Roman"/>
        </w:rPr>
        <w:t>)</w:t>
      </w:r>
      <w:r w:rsidRPr="00DC4545">
        <w:rPr>
          <w:rFonts w:ascii="Times New Roman" w:hAnsi="Times New Roman" w:cs="Times New Roman"/>
        </w:rPr>
        <w:t xml:space="preserve"> and manatee grass </w:t>
      </w:r>
      <w:r w:rsidR="00FB1157">
        <w:rPr>
          <w:rFonts w:ascii="Times New Roman" w:hAnsi="Times New Roman" w:cs="Times New Roman"/>
        </w:rPr>
        <w:t>(</w:t>
      </w:r>
      <w:r w:rsidRPr="00FB1157">
        <w:rPr>
          <w:rFonts w:ascii="Times New Roman" w:hAnsi="Times New Roman" w:cs="Times New Roman"/>
          <w:i/>
        </w:rPr>
        <w:t>Syringodium</w:t>
      </w:r>
      <w:r w:rsidR="008C4EB0" w:rsidRPr="00FB1157">
        <w:rPr>
          <w:rFonts w:ascii="Times New Roman" w:hAnsi="Times New Roman" w:cs="Times New Roman"/>
          <w:i/>
        </w:rPr>
        <w:t xml:space="preserve"> </w:t>
      </w:r>
      <w:r w:rsidRPr="00FB1157">
        <w:rPr>
          <w:rFonts w:ascii="Times New Roman" w:hAnsi="Times New Roman" w:cs="Times New Roman"/>
          <w:i/>
        </w:rPr>
        <w:t>filiforme</w:t>
      </w:r>
      <w:r w:rsidR="00FB1157">
        <w:rPr>
          <w:rFonts w:ascii="Times New Roman" w:hAnsi="Times New Roman" w:cs="Times New Roman"/>
        </w:rPr>
        <w:t>)</w:t>
      </w:r>
      <w:r w:rsidRPr="00DC4545">
        <w:rPr>
          <w:rFonts w:ascii="Times New Roman" w:hAnsi="Times New Roman" w:cs="Times New Roman"/>
        </w:rPr>
        <w:t>. Other marine plants include various species of green, blue green, brown and red algae, some of which are used locally as food. A variety of sea weed</w:t>
      </w:r>
      <w:r w:rsidR="009E2A7A">
        <w:rPr>
          <w:rFonts w:ascii="Times New Roman" w:hAnsi="Times New Roman" w:cs="Times New Roman"/>
        </w:rPr>
        <w:t>s or sea moss (red marine algae,</w:t>
      </w:r>
      <w:r w:rsidRPr="00DC4545">
        <w:rPr>
          <w:rFonts w:ascii="Times New Roman" w:hAnsi="Times New Roman" w:cs="Times New Roman"/>
        </w:rPr>
        <w:t xml:space="preserve"> mainly </w:t>
      </w:r>
      <w:r w:rsidRPr="00FB1157">
        <w:rPr>
          <w:rFonts w:ascii="Times New Roman" w:hAnsi="Times New Roman" w:cs="Times New Roman"/>
          <w:i/>
        </w:rPr>
        <w:t>Gracilaria sp</w:t>
      </w:r>
      <w:r w:rsidR="009E2A7A">
        <w:rPr>
          <w:rFonts w:ascii="Times New Roman" w:hAnsi="Times New Roman" w:cs="Times New Roman"/>
          <w:i/>
        </w:rPr>
        <w:t>)</w:t>
      </w:r>
      <w:r w:rsidR="00FB1157">
        <w:rPr>
          <w:rFonts w:ascii="Times New Roman" w:hAnsi="Times New Roman" w:cs="Times New Roman"/>
        </w:rPr>
        <w:t xml:space="preserve"> </w:t>
      </w:r>
      <w:r w:rsidRPr="00DC4545">
        <w:rPr>
          <w:rFonts w:ascii="Times New Roman" w:hAnsi="Times New Roman" w:cs="Times New Roman"/>
        </w:rPr>
        <w:t>is harvested at notable sand-mud locations at Calliste, Conference, Pearls and Telescope as well as locations at Carriacou and Isle de Ronde. The algae are processed into a milk-based beverage primarily for local consumption, though some of the dried plants are exported on a small scale to other islands. Sustainable harvesting of</w:t>
      </w:r>
      <w:r w:rsidR="008C4EB0">
        <w:rPr>
          <w:rFonts w:ascii="Times New Roman" w:hAnsi="Times New Roman" w:cs="Times New Roman"/>
        </w:rPr>
        <w:t xml:space="preserve"> </w:t>
      </w:r>
      <w:r w:rsidRPr="009E2A7A">
        <w:rPr>
          <w:rFonts w:ascii="Times New Roman" w:hAnsi="Times New Roman" w:cs="Times New Roman"/>
          <w:i/>
        </w:rPr>
        <w:t>Gracilaria</w:t>
      </w:r>
      <w:r w:rsidR="008C4EB0" w:rsidRPr="009E2A7A">
        <w:rPr>
          <w:rFonts w:ascii="Times New Roman" w:hAnsi="Times New Roman" w:cs="Times New Roman"/>
          <w:i/>
        </w:rPr>
        <w:t xml:space="preserve"> </w:t>
      </w:r>
      <w:r w:rsidRPr="009E2A7A">
        <w:rPr>
          <w:rFonts w:ascii="Times New Roman" w:hAnsi="Times New Roman" w:cs="Times New Roman"/>
          <w:i/>
        </w:rPr>
        <w:t xml:space="preserve">sp </w:t>
      </w:r>
      <w:r w:rsidRPr="00DC4545">
        <w:rPr>
          <w:rFonts w:ascii="Times New Roman" w:hAnsi="Times New Roman" w:cs="Times New Roman"/>
        </w:rPr>
        <w:t xml:space="preserve">has been maintained at Calliste, St. George among other areas. </w:t>
      </w:r>
    </w:p>
    <w:p w14:paraId="61CE0FFC"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Most of the reefs around Grenada and the Grenadines, especially along the East and South East Coast are in varying stages of degradation and recuperation. The islands adjacent to Levera Bay have reef systems, with Sugar Loaf being in the best state of recovery and dominated by Elkhorn coral (</w:t>
      </w:r>
      <w:r w:rsidRPr="009E2A7A">
        <w:rPr>
          <w:rFonts w:ascii="Times New Roman" w:hAnsi="Times New Roman" w:cs="Times New Roman"/>
          <w:i/>
        </w:rPr>
        <w:t>Acropora</w:t>
      </w:r>
      <w:r w:rsidR="004D2FDA" w:rsidRPr="009E2A7A">
        <w:rPr>
          <w:rFonts w:ascii="Times New Roman" w:hAnsi="Times New Roman" w:cs="Times New Roman"/>
          <w:i/>
        </w:rPr>
        <w:t xml:space="preserve"> </w:t>
      </w:r>
      <w:r w:rsidRPr="009E2A7A">
        <w:rPr>
          <w:rFonts w:ascii="Times New Roman" w:hAnsi="Times New Roman" w:cs="Times New Roman"/>
          <w:i/>
        </w:rPr>
        <w:t>palmata</w:t>
      </w:r>
      <w:r w:rsidRPr="00DC4545">
        <w:rPr>
          <w:rFonts w:ascii="Times New Roman" w:hAnsi="Times New Roman" w:cs="Times New Roman"/>
        </w:rPr>
        <w:t>). The Grenada Preliminary Data Atlas (1980) shows areas of living reef along the East Coast which are basically a combination of various species of branching and boulder coral in varying stages of degradation and recovery. There is one barrier type of reef stretching from Telescope Point to Marquis Islands with Elkhorn</w:t>
      </w:r>
      <w:r w:rsidR="009E2A7A">
        <w:rPr>
          <w:rFonts w:ascii="Times New Roman" w:hAnsi="Times New Roman" w:cs="Times New Roman"/>
        </w:rPr>
        <w:t xml:space="preserve">, </w:t>
      </w:r>
      <w:r w:rsidRPr="00DC4545">
        <w:rPr>
          <w:rFonts w:ascii="Times New Roman" w:hAnsi="Times New Roman" w:cs="Times New Roman"/>
        </w:rPr>
        <w:t xml:space="preserve">finger coral </w:t>
      </w:r>
      <w:r w:rsidRPr="00A53745">
        <w:rPr>
          <w:rFonts w:ascii="Times New Roman" w:hAnsi="Times New Roman" w:cs="Times New Roman"/>
        </w:rPr>
        <w:t>(</w:t>
      </w:r>
      <w:r w:rsidRPr="009E2A7A">
        <w:rPr>
          <w:rFonts w:ascii="Times New Roman" w:hAnsi="Times New Roman" w:cs="Times New Roman"/>
          <w:i/>
        </w:rPr>
        <w:t>Porites</w:t>
      </w:r>
      <w:r w:rsidR="004D2FDA" w:rsidRPr="009E2A7A">
        <w:rPr>
          <w:rFonts w:ascii="Times New Roman" w:hAnsi="Times New Roman" w:cs="Times New Roman"/>
          <w:i/>
        </w:rPr>
        <w:t xml:space="preserve"> </w:t>
      </w:r>
      <w:r w:rsidRPr="009E2A7A">
        <w:rPr>
          <w:rFonts w:ascii="Times New Roman" w:hAnsi="Times New Roman" w:cs="Times New Roman"/>
          <w:i/>
        </w:rPr>
        <w:t>porites</w:t>
      </w:r>
      <w:r w:rsidRPr="00A53745">
        <w:rPr>
          <w:rFonts w:ascii="Times New Roman" w:hAnsi="Times New Roman" w:cs="Times New Roman"/>
        </w:rPr>
        <w:t>)</w:t>
      </w:r>
      <w:r w:rsidRPr="00DC4545">
        <w:rPr>
          <w:rFonts w:ascii="Times New Roman" w:hAnsi="Times New Roman" w:cs="Times New Roman"/>
        </w:rPr>
        <w:t xml:space="preserve"> and some boulder coral</w:t>
      </w:r>
      <w:r w:rsidR="009E2A7A">
        <w:rPr>
          <w:rFonts w:ascii="Times New Roman" w:hAnsi="Times New Roman" w:cs="Times New Roman"/>
        </w:rPr>
        <w:t>,</w:t>
      </w:r>
      <w:r w:rsidRPr="00DC4545">
        <w:rPr>
          <w:rFonts w:ascii="Times New Roman" w:hAnsi="Times New Roman" w:cs="Times New Roman"/>
        </w:rPr>
        <w:t xml:space="preserve"> including mustard, and br</w:t>
      </w:r>
      <w:r w:rsidR="002F2C81">
        <w:rPr>
          <w:rFonts w:ascii="Times New Roman" w:hAnsi="Times New Roman" w:cs="Times New Roman"/>
        </w:rPr>
        <w:t>ain coral. Small fring</w:t>
      </w:r>
      <w:r w:rsidR="009E2A7A">
        <w:rPr>
          <w:rFonts w:ascii="Times New Roman" w:hAnsi="Times New Roman" w:cs="Times New Roman"/>
        </w:rPr>
        <w:t>e</w:t>
      </w:r>
      <w:r w:rsidR="002F2C81">
        <w:rPr>
          <w:rFonts w:ascii="Times New Roman" w:hAnsi="Times New Roman" w:cs="Times New Roman"/>
        </w:rPr>
        <w:t xml:space="preserve"> reefs</w:t>
      </w:r>
      <w:r w:rsidRPr="00DC4545">
        <w:rPr>
          <w:rFonts w:ascii="Times New Roman" w:hAnsi="Times New Roman" w:cs="Times New Roman"/>
        </w:rPr>
        <w:t>,</w:t>
      </w:r>
      <w:r w:rsidR="002F2C81">
        <w:rPr>
          <w:rFonts w:ascii="Times New Roman" w:hAnsi="Times New Roman" w:cs="Times New Roman"/>
        </w:rPr>
        <w:t xml:space="preserve"> </w:t>
      </w:r>
      <w:r w:rsidRPr="00DC4545">
        <w:rPr>
          <w:rFonts w:ascii="Times New Roman" w:hAnsi="Times New Roman" w:cs="Times New Roman"/>
        </w:rPr>
        <w:t xml:space="preserve">mainly of Elkhorn coral, exist along the south east and south coast to Point Salines. These reefs show some signs of recovery but most of them remain overgrown with algae. </w:t>
      </w:r>
    </w:p>
    <w:p w14:paraId="79F1C1CE" w:rsidR="0013363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On the North West Coast, the reef at Red Rock, originally dominated by Elkhorn coral has suffered much physical damage probably from strong storm swells (Ground Sea) which frequently hit the area. Reefs that exist at Beausejour and Moliniere are being steadily degraded by overuse mainly by tourists (snorkeling and scuba diving). At Grand Anse, the </w:t>
      </w:r>
      <w:r w:rsidR="009E2A7A">
        <w:rPr>
          <w:rFonts w:ascii="Times New Roman" w:hAnsi="Times New Roman" w:cs="Times New Roman"/>
        </w:rPr>
        <w:t>T</w:t>
      </w:r>
      <w:r w:rsidRPr="00DC4545">
        <w:rPr>
          <w:rFonts w:ascii="Times New Roman" w:hAnsi="Times New Roman" w:cs="Times New Roman"/>
        </w:rPr>
        <w:t xml:space="preserve">hree </w:t>
      </w:r>
      <w:r w:rsidR="009E2A7A">
        <w:rPr>
          <w:rFonts w:ascii="Times New Roman" w:hAnsi="Times New Roman" w:cs="Times New Roman"/>
        </w:rPr>
        <w:t>F</w:t>
      </w:r>
      <w:r w:rsidRPr="00DC4545">
        <w:rPr>
          <w:rFonts w:ascii="Times New Roman" w:hAnsi="Times New Roman" w:cs="Times New Roman"/>
        </w:rPr>
        <w:t xml:space="preserve">athoms reef is badly degraded; however, the </w:t>
      </w:r>
      <w:r w:rsidR="009E2A7A">
        <w:rPr>
          <w:rFonts w:ascii="Times New Roman" w:hAnsi="Times New Roman" w:cs="Times New Roman"/>
        </w:rPr>
        <w:t>S</w:t>
      </w:r>
      <w:r w:rsidRPr="00DC4545">
        <w:rPr>
          <w:rFonts w:ascii="Times New Roman" w:hAnsi="Times New Roman" w:cs="Times New Roman"/>
        </w:rPr>
        <w:t xml:space="preserve">ix </w:t>
      </w:r>
      <w:r w:rsidR="009E2A7A">
        <w:rPr>
          <w:rFonts w:ascii="Times New Roman" w:hAnsi="Times New Roman" w:cs="Times New Roman"/>
        </w:rPr>
        <w:t>F</w:t>
      </w:r>
      <w:r w:rsidRPr="00DC4545">
        <w:rPr>
          <w:rFonts w:ascii="Times New Roman" w:hAnsi="Times New Roman" w:cs="Times New Roman"/>
        </w:rPr>
        <w:t xml:space="preserve">athoms reef which consists of a combination of hard and soft coral is still in good shape. Large barrier reefs occur along the East coasts of Carriacou, Petite Martinique and some of the smaller islets of the Grenadines. These are strongly dominated by Elkhorn corals in the shallow areas and boulder coral in the fore reef. Saline and White Islands have an excellent reef system </w:t>
      </w:r>
      <w:r w:rsidR="009E2A7A">
        <w:rPr>
          <w:rFonts w:ascii="Times New Roman" w:hAnsi="Times New Roman" w:cs="Times New Roman"/>
        </w:rPr>
        <w:t>as well as</w:t>
      </w:r>
      <w:r w:rsidRPr="00DC4545">
        <w:rPr>
          <w:rFonts w:ascii="Times New Roman" w:hAnsi="Times New Roman" w:cs="Times New Roman"/>
        </w:rPr>
        <w:t xml:space="preserve"> the best species combination in the area</w:t>
      </w:r>
      <w:r w:rsidRPr="000F3D2E">
        <w:rPr>
          <w:rFonts w:ascii="Times New Roman" w:hAnsi="Times New Roman" w:cs="Times New Roman"/>
        </w:rPr>
        <w:t xml:space="preserve">. </w:t>
      </w:r>
    </w:p>
    <w:p w14:paraId="111827F0" w:rsidR="00A9248D" w:rsidRPr="00A9248D" w:rsidRDefault="00A9248D" w:rsidP="00A9248D">
      <w:pPr>
        <w:pStyle w:val="Heading3"/>
      </w:pPr>
      <w:bookmarkStart w:id="6" w:name="_Toc389820950"/>
      <w:r>
        <w:t xml:space="preserve">1.A.2 </w:t>
      </w:r>
      <w:r w:rsidRPr="00A9248D">
        <w:t>Ecosystem Functions and Uses:</w:t>
      </w:r>
      <w:bookmarkEnd w:id="6"/>
      <w:r w:rsidRPr="00A9248D">
        <w:t xml:space="preserve"> </w:t>
      </w:r>
    </w:p>
    <w:p w14:paraId="33BFA5F5" w:rsidR="00A9248D" w:rsidRPr="00A9248D" w:rsidRDefault="00A9248D"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A9248D">
        <w:rPr>
          <w:rFonts w:ascii="Times New Roman" w:hAnsi="Times New Roman" w:cs="Times New Roman"/>
        </w:rPr>
        <w:t>Forest ecosystems cover approximately 20.8% of Grenada.  Years of hurricanes, deforestation and replanting in Grenada have led to the forest ecosystems that have evolved today, which are primarily secondary re-growth or cultivation, with the exception of some isolated areas on steep mountain slopes, and the Grand Etang Forest Reserve, which contains primary forests. Nonetheless, secondary forests and forest fragments are important in the landscape, particularly as they reduce the amount of edge effect around forested PAs and minimize the amount of agricultural land (and therefore the setting of fires and other impacts) directly abutting PA forests.  Grenada’s forests are important for the provision of water supplies, control of soil erosion and enhancement of soil productivity, various economic activities, and carbon sequestration (terrestrial PAs in Grenada are estimated to store a total of 322,158,3 tC). There has been a general phasing-out of timber production in Grenada over the past decades, but forests continue to be important for the livelihoods of many rural groups engaged in hunting, saw milling, handicraft making, animal grazing and tourism activities.  As timber production has declined, non-timber forest products (NTFPs) have become a major contributor to the livelihoods of rural communities.  For example, many individuals use screw pine (</w:t>
      </w:r>
      <w:r w:rsidRPr="00A9248D">
        <w:rPr>
          <w:rFonts w:ascii="Times New Roman" w:hAnsi="Times New Roman" w:cs="Times New Roman"/>
          <w:i/>
        </w:rPr>
        <w:t>pandanusutilis</w:t>
      </w:r>
      <w:r w:rsidRPr="00A9248D">
        <w:rPr>
          <w:rFonts w:ascii="Times New Roman" w:hAnsi="Times New Roman" w:cs="Times New Roman"/>
        </w:rPr>
        <w:t>) and bamboo as raw materials for the production of spice baskets and other handicrafts (although bamboo can have negative impacts through crowding out of invasive species and its vulnerability to fire). Other important NTFPs include fruits, charcoal, and medicinal plants.  Hunting is a popular activity in Grenada for recreation and, for some, as a source of income. Degradation of forests after the passage of Hurricanes Ivan and Emily has seriously affected households who depend on NTFPs such as fruits and wild meat to supplement their diet and income, and mangroves and dry forests for timber for charcoal production.</w:t>
      </w:r>
      <w:r w:rsidRPr="00A9248D">
        <w:rPr>
          <w:rFonts w:ascii="Times New Roman" w:hAnsi="Times New Roman" w:cs="Times New Roman"/>
        </w:rPr>
        <w:tab/>
      </w:r>
    </w:p>
    <w:p w14:paraId="698B6C4D" w:rsidR="00A9248D" w:rsidRPr="00A9248D" w:rsidRDefault="00A9248D"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A9248D">
        <w:rPr>
          <w:rFonts w:ascii="Times New Roman" w:hAnsi="Times New Roman" w:cs="Times New Roman"/>
        </w:rPr>
        <w:t>Agricultural lands are primarily interspersed with forests in the low-lying and mid-level elevations of Grenada.  Currently, 75% of the total land area that is not forested is under some form of agriculture.  Agriculture is a major contributor to Grenada’s economy, averaging 8% of GDP between 2002 and 2006, with primary agricultural exports accounting for approximately 57% of all exports during this period. As Grenada transitioned from a cotton and sugar producer to tree crops such as nutmeg, cocoa and bananas, land usage and production moved from the lower areas up the mountainsides, and today most agricultural land consists of small land holdings of 2 hectares or less.  The absence of large areas of monoculture has allowed for wider biodiversity on agricultural land, and the wide use of permanent crops creates a better environment for biodiversity conservation in general (stands of cocoa, nutmeg or fruit trees are in place for many years and provide habitat for other plant and animal species).</w:t>
      </w:r>
      <w:r>
        <w:rPr>
          <w:rFonts w:ascii="Times New Roman" w:hAnsi="Times New Roman" w:cs="Times New Roman"/>
        </w:rPr>
        <w:t xml:space="preserve"> </w:t>
      </w:r>
      <w:r w:rsidRPr="00A9248D">
        <w:rPr>
          <w:rFonts w:ascii="Times New Roman" w:hAnsi="Times New Roman" w:cs="Times New Roman"/>
        </w:rPr>
        <w:t>However, in recent years</w:t>
      </w:r>
      <w:r>
        <w:rPr>
          <w:rFonts w:ascii="Times New Roman" w:hAnsi="Times New Roman" w:cs="Times New Roman"/>
        </w:rPr>
        <w:t xml:space="preserve"> </w:t>
      </w:r>
      <w:r w:rsidRPr="00A9248D">
        <w:rPr>
          <w:rFonts w:ascii="Times New Roman" w:hAnsi="Times New Roman" w:cs="Times New Roman"/>
        </w:rPr>
        <w:t>there has been a consistent trend towards the conversion of lands, particularly larger plantations, from agriculture into housing, tourism and commercial uses, and this encroachment on former agricultural land and key watersheds is a major concern as these</w:t>
      </w:r>
      <w:r>
        <w:rPr>
          <w:rFonts w:ascii="Times New Roman" w:hAnsi="Times New Roman" w:cs="Times New Roman"/>
        </w:rPr>
        <w:t xml:space="preserve"> </w:t>
      </w:r>
      <w:r w:rsidRPr="00A9248D">
        <w:rPr>
          <w:rFonts w:ascii="Times New Roman" w:hAnsi="Times New Roman" w:cs="Times New Roman"/>
        </w:rPr>
        <w:t>agricultural lands are important for provision of food, control of soil erosion and water runoff, and as habitat for birds, pollinators and soil organisms.  Freshwater ecosystems are important for water provision, drainage, aquatic habitat, nutrient cycling and sustainable livelihoods -- numerous rural inhabitants harvest crustaceans and other shellfish in significant quantities for subsistence purposes and as a source of income.</w:t>
      </w:r>
    </w:p>
    <w:p w14:paraId="6D5644B8" w:rsidR="00A9248D" w:rsidRPr="00A9248D" w:rsidRDefault="00A9248D"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A9248D">
        <w:rPr>
          <w:rFonts w:ascii="Times New Roman" w:hAnsi="Times New Roman" w:cs="Times New Roman"/>
        </w:rPr>
        <w:t>Coastal/marine ecosystems include mangroves (primarily red mangrove, black mangrove, white mangrove and buttonwood), which occupy about 3.4 sq. km., coral reefs (primarily Elkhorn coral, Boulder coral, Finger coral, Mustard coral and Brain coral) that cover an estimated 12.5 sq. km., and sea grass beds (turtle grass and manatee grass).  Grenada’s fisheries sector, which is primarily semi-subsistence plus some small-scale commercial operations for yellowfin tuna (</w:t>
      </w:r>
      <w:r w:rsidRPr="00A9248D">
        <w:rPr>
          <w:rFonts w:ascii="Times New Roman" w:hAnsi="Times New Roman" w:cs="Times New Roman"/>
          <w:i/>
        </w:rPr>
        <w:t>Thunnus albacaves</w:t>
      </w:r>
      <w:r w:rsidRPr="00A9248D">
        <w:rPr>
          <w:rFonts w:ascii="Times New Roman" w:hAnsi="Times New Roman" w:cs="Times New Roman"/>
        </w:rPr>
        <w:t>), is highly dependent on the health of the coral reefs and other ecosystems.  In addition, mangrove ecosystems filter runoff from land, provide substrate for marine organisms and birds, and provide feeding and breeding areas and nurseries for the fish stock.  Seagrass beds act as a transition point and energy bridge between the mangrove communities and the reef system and fishing grounds.  Grenada’s beaches are dynamic ecosystems that protect the coastal area from wave action and provide habitat and nesting sites for marine species (including many crustaceans and Hawksbill and Leatherback turtles).   Grenada’s tourism sector, which has been the main driver of the economy of the country since the 1980s, is highly dependent on the health and aesthetic values of coastal and marine ecosystems.  Although hurricanes in 2004 and 2005 destroyed some tourism infrastructure and slowed down tourism-related investment, the country’s mix of traditional sun-sea-sand and cruise tourism as well as eco-tourism has rebounded strongly since then.</w:t>
      </w:r>
    </w:p>
    <w:p w14:paraId="38C2652B" w:rsidR="00C50D42" w:rsidRPr="00DC4545" w:rsidRDefault="00A9248D" w:rsidP="00A9248D">
      <w:pPr>
        <w:pStyle w:val="Heading3"/>
      </w:pPr>
      <w:bookmarkStart w:id="7" w:name="_Toc389820951"/>
      <w:r>
        <w:t xml:space="preserve">1.A.3 </w:t>
      </w:r>
      <w:r w:rsidR="00C50D42">
        <w:t>Protected Areas in Grenada</w:t>
      </w:r>
      <w:bookmarkEnd w:id="7"/>
    </w:p>
    <w:p w14:paraId="4817A81B" w:rsidR="00C50D42" w:rsidRDefault="00C50D4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Grenada is considered to have special land management challenges in its attempts to adopt </w:t>
      </w:r>
      <w:r>
        <w:rPr>
          <w:rFonts w:ascii="Times New Roman" w:hAnsi="Times New Roman" w:cs="Times New Roman"/>
        </w:rPr>
        <w:t>PA</w:t>
      </w:r>
      <w:r w:rsidRPr="00DC4545">
        <w:rPr>
          <w:rFonts w:ascii="Times New Roman" w:hAnsi="Times New Roman" w:cs="Times New Roman"/>
        </w:rPr>
        <w:t xml:space="preserve"> management as </w:t>
      </w:r>
      <w:r>
        <w:rPr>
          <w:rFonts w:ascii="Times New Roman" w:hAnsi="Times New Roman" w:cs="Times New Roman"/>
        </w:rPr>
        <w:t xml:space="preserve">a </w:t>
      </w:r>
      <w:r w:rsidRPr="00DC4545">
        <w:rPr>
          <w:rFonts w:ascii="Times New Roman" w:hAnsi="Times New Roman" w:cs="Times New Roman"/>
        </w:rPr>
        <w:t xml:space="preserve">key instrument for conservation and management of BD and ecosystems functions.  </w:t>
      </w:r>
      <w:r>
        <w:rPr>
          <w:rFonts w:ascii="Times New Roman" w:hAnsi="Times New Roman" w:cs="Times New Roman"/>
        </w:rPr>
        <w:t>K</w:t>
      </w:r>
      <w:r w:rsidRPr="00DC4545">
        <w:rPr>
          <w:rFonts w:ascii="Times New Roman" w:hAnsi="Times New Roman" w:cs="Times New Roman"/>
        </w:rPr>
        <w:t>ey issues for pub</w:t>
      </w:r>
      <w:r>
        <w:rPr>
          <w:rFonts w:ascii="Times New Roman" w:hAnsi="Times New Roman" w:cs="Times New Roman"/>
        </w:rPr>
        <w:t>lic policy and practice of a PA</w:t>
      </w:r>
      <w:r w:rsidRPr="00DC4545">
        <w:rPr>
          <w:rFonts w:ascii="Times New Roman" w:hAnsi="Times New Roman" w:cs="Times New Roman"/>
        </w:rPr>
        <w:t xml:space="preserve"> approach to conservation and management of BD and ecosystems functions relate to and stem from Grenada’s current </w:t>
      </w:r>
      <w:r w:rsidRPr="00A53745">
        <w:rPr>
          <w:rFonts w:ascii="Times New Roman" w:hAnsi="Times New Roman" w:cs="Times New Roman"/>
        </w:rPr>
        <w:t>land tenure</w:t>
      </w:r>
      <w:r w:rsidRPr="00DC4545">
        <w:rPr>
          <w:rFonts w:ascii="Times New Roman" w:hAnsi="Times New Roman" w:cs="Times New Roman"/>
        </w:rPr>
        <w:t xml:space="preserve"> and </w:t>
      </w:r>
      <w:r w:rsidRPr="00A53745">
        <w:rPr>
          <w:rFonts w:ascii="Times New Roman" w:hAnsi="Times New Roman" w:cs="Times New Roman"/>
        </w:rPr>
        <w:t>land ownership.</w:t>
      </w:r>
      <w:r w:rsidRPr="00DC4545">
        <w:rPr>
          <w:rFonts w:ascii="Times New Roman" w:hAnsi="Times New Roman" w:cs="Times New Roman"/>
        </w:rPr>
        <w:t xml:space="preserve">  Records show that 85% of the terrestrial land in Grenada is privately owned rather than owned by a small dominant set of land barons or by Government. This means that much less than 15% of the terrestrial lands are expected to be under the direct ‘</w:t>
      </w:r>
      <w:r w:rsidRPr="00A53745">
        <w:rPr>
          <w:rFonts w:ascii="Times New Roman" w:hAnsi="Times New Roman" w:cs="Times New Roman"/>
        </w:rPr>
        <w:t xml:space="preserve">command and control’ </w:t>
      </w:r>
      <w:r w:rsidRPr="00DC4545">
        <w:rPr>
          <w:rFonts w:ascii="Times New Roman" w:hAnsi="Times New Roman" w:cs="Times New Roman"/>
        </w:rPr>
        <w:t xml:space="preserve">of Government for programmatic management.  As source and consequence of this land tenure situation </w:t>
      </w:r>
      <w:r>
        <w:rPr>
          <w:rFonts w:ascii="Times New Roman" w:hAnsi="Times New Roman" w:cs="Times New Roman"/>
        </w:rPr>
        <w:t>are:</w:t>
      </w:r>
    </w:p>
    <w:p w14:paraId="5009D450"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 xml:space="preserve">weak institutional arrangements for application of various land management policy instruments; </w:t>
      </w:r>
    </w:p>
    <w:p w14:paraId="1503CC4F"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a compartmentalization of administ</w:t>
      </w:r>
      <w:r>
        <w:rPr>
          <w:rFonts w:ascii="Times New Roman" w:hAnsi="Times New Roman" w:cs="Times New Roman"/>
        </w:rPr>
        <w:t>rations</w:t>
      </w:r>
      <w:r w:rsidRPr="00DC4545">
        <w:rPr>
          <w:rFonts w:ascii="Times New Roman" w:hAnsi="Times New Roman" w:cs="Times New Roman"/>
        </w:rPr>
        <w:t xml:space="preserve"> requiring shared management of limited spaces that have multiple ecosystems functions; </w:t>
      </w:r>
    </w:p>
    <w:p w14:paraId="00EDA4AA"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 xml:space="preserve">pervasive small-plot mixed farming landscapes; </w:t>
      </w:r>
    </w:p>
    <w:p w14:paraId="60F74B59"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a lega</w:t>
      </w:r>
      <w:r>
        <w:rPr>
          <w:rFonts w:ascii="Times New Roman" w:hAnsi="Times New Roman" w:cs="Times New Roman"/>
        </w:rPr>
        <w:t>cy of ineffectual land zoning;</w:t>
      </w:r>
      <w:r w:rsidRPr="00DC4545">
        <w:rPr>
          <w:rFonts w:ascii="Times New Roman" w:hAnsi="Times New Roman" w:cs="Times New Roman"/>
        </w:rPr>
        <w:t xml:space="preserve"> </w:t>
      </w:r>
    </w:p>
    <w:p w14:paraId="097E55EA"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 xml:space="preserve">pressure on </w:t>
      </w:r>
      <w:r>
        <w:rPr>
          <w:rFonts w:ascii="Times New Roman" w:hAnsi="Times New Roman" w:cs="Times New Roman"/>
        </w:rPr>
        <w:t xml:space="preserve">the </w:t>
      </w:r>
      <w:r w:rsidRPr="00DC4545">
        <w:rPr>
          <w:rFonts w:ascii="Times New Roman" w:hAnsi="Times New Roman" w:cs="Times New Roman"/>
        </w:rPr>
        <w:t>Government to adopt policy i</w:t>
      </w:r>
      <w:r>
        <w:rPr>
          <w:rFonts w:ascii="Times New Roman" w:hAnsi="Times New Roman" w:cs="Times New Roman"/>
        </w:rPr>
        <w:t>nstruments that actively manage</w:t>
      </w:r>
      <w:r w:rsidRPr="00DC4545">
        <w:rPr>
          <w:rFonts w:ascii="Times New Roman" w:hAnsi="Times New Roman" w:cs="Times New Roman"/>
        </w:rPr>
        <w:t xml:space="preserve"> shared public and private eco-assets for economic development that </w:t>
      </w:r>
      <w:r>
        <w:rPr>
          <w:rFonts w:ascii="Times New Roman" w:hAnsi="Times New Roman" w:cs="Times New Roman"/>
        </w:rPr>
        <w:t>is driven by the imperatives of</w:t>
      </w:r>
      <w:r w:rsidRPr="00DC4545">
        <w:rPr>
          <w:rFonts w:ascii="Times New Roman" w:hAnsi="Times New Roman" w:cs="Times New Roman"/>
        </w:rPr>
        <w:t xml:space="preserve"> livelihood opportunit</w:t>
      </w:r>
      <w:r>
        <w:rPr>
          <w:rFonts w:ascii="Times New Roman" w:hAnsi="Times New Roman" w:cs="Times New Roman"/>
        </w:rPr>
        <w:t>ies</w:t>
      </w:r>
      <w:r w:rsidRPr="00DC4545">
        <w:rPr>
          <w:rFonts w:ascii="Times New Roman" w:hAnsi="Times New Roman" w:cs="Times New Roman"/>
        </w:rPr>
        <w:t xml:space="preserve"> for the population; </w:t>
      </w:r>
    </w:p>
    <w:p w14:paraId="1A0A5041"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 xml:space="preserve">lack of </w:t>
      </w:r>
      <w:r>
        <w:rPr>
          <w:rFonts w:ascii="Times New Roman" w:hAnsi="Times New Roman" w:cs="Times New Roman"/>
        </w:rPr>
        <w:t>capacity to manage and conserve</w:t>
      </w:r>
      <w:r w:rsidRPr="00DC4545">
        <w:rPr>
          <w:rFonts w:ascii="Times New Roman" w:hAnsi="Times New Roman" w:cs="Times New Roman"/>
        </w:rPr>
        <w:t xml:space="preserve"> e</w:t>
      </w:r>
      <w:r>
        <w:rPr>
          <w:rFonts w:ascii="Times New Roman" w:hAnsi="Times New Roman" w:cs="Times New Roman"/>
        </w:rPr>
        <w:t>co-assets using current cutting-</w:t>
      </w:r>
      <w:r w:rsidRPr="00DC4545">
        <w:rPr>
          <w:rFonts w:ascii="Times New Roman" w:hAnsi="Times New Roman" w:cs="Times New Roman"/>
        </w:rPr>
        <w:t xml:space="preserve">edge knowledge and technologies in the context of </w:t>
      </w:r>
      <w:r w:rsidR="00D52CAF">
        <w:rPr>
          <w:rFonts w:ascii="Times New Roman" w:hAnsi="Times New Roman" w:cs="Times New Roman"/>
        </w:rPr>
        <w:t>“</w:t>
      </w:r>
      <w:r w:rsidRPr="00A53745">
        <w:rPr>
          <w:rFonts w:ascii="Times New Roman" w:hAnsi="Times New Roman" w:cs="Times New Roman"/>
        </w:rPr>
        <w:t>contested use</w:t>
      </w:r>
      <w:r w:rsidR="00D52CAF">
        <w:rPr>
          <w:rFonts w:ascii="Times New Roman" w:hAnsi="Times New Roman" w:cs="Times New Roman"/>
        </w:rPr>
        <w:t>”</w:t>
      </w:r>
      <w:r w:rsidRPr="00DC4545">
        <w:rPr>
          <w:rFonts w:ascii="Times New Roman" w:hAnsi="Times New Roman" w:cs="Times New Roman"/>
        </w:rPr>
        <w:t xml:space="preserve"> of public/private natural resources, the us</w:t>
      </w:r>
      <w:r>
        <w:rPr>
          <w:rFonts w:ascii="Times New Roman" w:hAnsi="Times New Roman" w:cs="Times New Roman"/>
        </w:rPr>
        <w:t>e of marine (Common P</w:t>
      </w:r>
      <w:r w:rsidRPr="00DC4545">
        <w:rPr>
          <w:rFonts w:ascii="Times New Roman" w:hAnsi="Times New Roman" w:cs="Times New Roman"/>
        </w:rPr>
        <w:t>roperty) resour</w:t>
      </w:r>
      <w:r>
        <w:rPr>
          <w:rFonts w:ascii="Times New Roman" w:hAnsi="Times New Roman" w:cs="Times New Roman"/>
        </w:rPr>
        <w:t xml:space="preserve">ces is a special case of note; </w:t>
      </w:r>
    </w:p>
    <w:p w14:paraId="41A9B24C" w:rsidR="00C50D42" w:rsidRDefault="00C50D42" w:rsidP="00CA416F">
      <w:pPr>
        <w:pStyle w:val="ListParagraph"/>
        <w:numPr>
          <w:ilvl w:val="1"/>
          <w:numId w:val="27"/>
        </w:numPr>
        <w:spacing w:after="120" w:line="240" w:lineRule="auto"/>
        <w:contextualSpacing w:val="0"/>
        <w:jc w:val="both"/>
        <w:rPr>
          <w:rFonts w:ascii="Times New Roman" w:hAnsi="Times New Roman" w:cs="Times New Roman"/>
        </w:rPr>
      </w:pPr>
      <w:r w:rsidRPr="00DC4545">
        <w:rPr>
          <w:rFonts w:ascii="Times New Roman" w:hAnsi="Times New Roman" w:cs="Times New Roman"/>
        </w:rPr>
        <w:t xml:space="preserve">lack of sufficient applications of economic instruments for controlling the use of eco-assets in the face of a virtual land management policy that is controlled by market factors and a market pricing system than by Government directed public policy. </w:t>
      </w:r>
    </w:p>
    <w:p w14:paraId="38BA8558" w:rsidR="00384183" w:rsidRDefault="0038418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4183">
        <w:rPr>
          <w:rFonts w:ascii="Times New Roman" w:hAnsi="Times New Roman" w:cs="Times New Roman"/>
        </w:rPr>
        <w:t>Grenada’s</w:t>
      </w:r>
      <w:r>
        <w:rPr>
          <w:rFonts w:ascii="Times New Roman" w:hAnsi="Times New Roman" w:cs="Times New Roman"/>
        </w:rPr>
        <w:t xml:space="preserve"> </w:t>
      </w:r>
      <w:r w:rsidRPr="00384183">
        <w:rPr>
          <w:rFonts w:ascii="Times New Roman" w:hAnsi="Times New Roman" w:cs="Times New Roman"/>
        </w:rPr>
        <w:t xml:space="preserve">Protected Areas System, including national parks, protected areas, marine reserves, heritage conservation areas and forest reserves, are designated and managed primarily under three Acts: the </w:t>
      </w:r>
      <w:r w:rsidRPr="00384183">
        <w:rPr>
          <w:rFonts w:ascii="Times New Roman" w:hAnsi="Times New Roman" w:cs="Times New Roman"/>
          <w:i/>
        </w:rPr>
        <w:t>National Heritage Protection Act (1990), the National Parks and Protected Areas Act (1991)</w:t>
      </w:r>
      <w:r w:rsidRPr="00384183">
        <w:rPr>
          <w:rFonts w:ascii="Times New Roman" w:hAnsi="Times New Roman" w:cs="Times New Roman"/>
        </w:rPr>
        <w:t xml:space="preserve">, and the </w:t>
      </w:r>
      <w:r w:rsidRPr="00384183">
        <w:rPr>
          <w:rFonts w:ascii="Times New Roman" w:hAnsi="Times New Roman" w:cs="Times New Roman"/>
          <w:i/>
        </w:rPr>
        <w:t>Fisheries Act (1986)</w:t>
      </w:r>
      <w:r w:rsidRPr="00384183">
        <w:rPr>
          <w:rFonts w:ascii="Times New Roman" w:hAnsi="Times New Roman" w:cs="Times New Roman"/>
        </w:rPr>
        <w:t xml:space="preserve"> and its accompanying </w:t>
      </w:r>
      <w:r w:rsidRPr="00384183">
        <w:rPr>
          <w:rFonts w:ascii="Times New Roman" w:hAnsi="Times New Roman" w:cs="Times New Roman"/>
          <w:i/>
        </w:rPr>
        <w:t>Fisheries (Marine Protected Areas) Regulations (2001)</w:t>
      </w:r>
      <w:r w:rsidRPr="00384183">
        <w:rPr>
          <w:rFonts w:ascii="Times New Roman" w:hAnsi="Times New Roman" w:cs="Times New Roman"/>
        </w:rPr>
        <w:t xml:space="preserve">.  Other relevant legislation includes the </w:t>
      </w:r>
      <w:r w:rsidRPr="00384183">
        <w:rPr>
          <w:rFonts w:ascii="Times New Roman" w:hAnsi="Times New Roman" w:cs="Times New Roman"/>
          <w:i/>
        </w:rPr>
        <w:t>Physical Planning and Development Control Act (2002)</w:t>
      </w:r>
      <w:r w:rsidRPr="00384183">
        <w:rPr>
          <w:rFonts w:ascii="Times New Roman" w:hAnsi="Times New Roman" w:cs="Times New Roman"/>
        </w:rPr>
        <w:t xml:space="preserve">, and the </w:t>
      </w:r>
      <w:r w:rsidRPr="00384183">
        <w:rPr>
          <w:rFonts w:ascii="Times New Roman" w:hAnsi="Times New Roman" w:cs="Times New Roman"/>
          <w:i/>
        </w:rPr>
        <w:t>Forest, Soil and Water Conservation Act (1947)</w:t>
      </w:r>
      <w:r w:rsidRPr="00384183">
        <w:rPr>
          <w:rFonts w:ascii="Times New Roman" w:hAnsi="Times New Roman" w:cs="Times New Roman"/>
        </w:rPr>
        <w:t xml:space="preserve">.  The </w:t>
      </w:r>
      <w:r w:rsidRPr="00384183">
        <w:rPr>
          <w:rFonts w:ascii="Times New Roman" w:hAnsi="Times New Roman" w:cs="Times New Roman"/>
          <w:i/>
        </w:rPr>
        <w:t>Soil and Water Conservation Ordinance (1956)</w:t>
      </w:r>
      <w:r w:rsidRPr="00384183">
        <w:rPr>
          <w:rFonts w:ascii="Times New Roman" w:hAnsi="Times New Roman" w:cs="Times New Roman"/>
        </w:rPr>
        <w:t xml:space="preserve"> makes provision for declaration of forest reserves and establishes regulations on uses of protected forestlands.  In addition, draft legislation was prepared in 2003 (draft </w:t>
      </w:r>
      <w:r w:rsidRPr="00384183">
        <w:rPr>
          <w:rFonts w:ascii="Times New Roman" w:hAnsi="Times New Roman" w:cs="Times New Roman"/>
          <w:i/>
        </w:rPr>
        <w:t>Protected Area, Forestry and Wildlife Bill</w:t>
      </w:r>
      <w:r w:rsidRPr="00384183">
        <w:rPr>
          <w:rFonts w:ascii="Times New Roman" w:hAnsi="Times New Roman" w:cs="Times New Roman"/>
        </w:rPr>
        <w:t>) to address concerns with overlapping legislation associated with protected areas, forestry and wildlife, but the d</w:t>
      </w:r>
      <w:r>
        <w:rPr>
          <w:rFonts w:ascii="Times New Roman" w:hAnsi="Times New Roman" w:cs="Times New Roman"/>
        </w:rPr>
        <w:t>raft bill was never finalized.</w:t>
      </w:r>
    </w:p>
    <w:p w14:paraId="2C080000" w:rsidR="00384183" w:rsidRPr="00384183" w:rsidRDefault="0038418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4183">
        <w:rPr>
          <w:rFonts w:ascii="Times New Roman" w:hAnsi="Times New Roman" w:cs="Times New Roman"/>
        </w:rPr>
        <w:t>Management of protected areas is primarily the responsibility of the Ministry of Agriculture, Forestry and Fisheries (MAFF); within the MAFF, the Department of Fisheries (DF) is responsible for marine protected areas and management of fisheries resources, with 8 persons working primarily on MPA management.  The Department of Forestry and National Parks (DFNP) within the MAFF has 15 full-time staff to manage forest reserves and other terrestrial protected areas, as well as 40-50 field staff providing forest ranger and foreman duties.  The Ministry of Tourism is responsible for the management of 13 tourism sites associated with PAs (heritage sites and the visitor complex in the Grand Etang Forest Reserve). Two bodies oversee PA management in Grenada: the National Implementation Support Partnership (NISP), which supports implementation of the PoW on PAs in Grenada in partnership with various governmental and non-governmental agencies, and the National MPA Management Committee, which is responsible for setting MPA policy and for overseeing all aspects of MPA management nationally.</w:t>
      </w:r>
    </w:p>
    <w:p w14:paraId="09923D5B" w:rsidR="00384183" w:rsidRDefault="0038418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4183">
        <w:rPr>
          <w:rFonts w:ascii="Times New Roman" w:hAnsi="Times New Roman" w:cs="Times New Roman"/>
        </w:rPr>
        <w:t xml:space="preserve">The Government of Grenada has committed to a national target of PA coverage of 25% of nearshore and 25% of terrestrial territory by the year 2020 as part of the Caribbean Challenge.  To date, 10 terrestrial protected areas have been established in Grenada that together protect high elevation forest environments, critical habitat for the endangered Grenada dove, and Amerindian cultural resources; these existing PA sites account for approximately 6% of the terrestrial environment of Grenada.  In addition, a number of other PA sites are </w:t>
      </w:r>
      <w:r>
        <w:rPr>
          <w:rFonts w:ascii="Times New Roman" w:hAnsi="Times New Roman" w:cs="Times New Roman"/>
        </w:rPr>
        <w:t>in various stages of planning/</w:t>
      </w:r>
      <w:r w:rsidRPr="00384183">
        <w:rPr>
          <w:rFonts w:ascii="Times New Roman" w:hAnsi="Times New Roman" w:cs="Times New Roman"/>
        </w:rPr>
        <w:t>approval.</w:t>
      </w:r>
      <w:r>
        <w:rPr>
          <w:rFonts w:ascii="Times New Roman" w:hAnsi="Times New Roman" w:cs="Times New Roman"/>
        </w:rPr>
        <w:t xml:space="preserve"> In the coastal/</w:t>
      </w:r>
      <w:r w:rsidRPr="00384183">
        <w:rPr>
          <w:rFonts w:ascii="Times New Roman" w:hAnsi="Times New Roman" w:cs="Times New Roman"/>
        </w:rPr>
        <w:t>marine environment,</w:t>
      </w:r>
      <w:r>
        <w:rPr>
          <w:rFonts w:ascii="Times New Roman" w:hAnsi="Times New Roman" w:cs="Times New Roman"/>
        </w:rPr>
        <w:t xml:space="preserve"> </w:t>
      </w:r>
      <w:r w:rsidRPr="00384183">
        <w:rPr>
          <w:rFonts w:ascii="Times New Roman" w:hAnsi="Times New Roman" w:cs="Times New Roman"/>
        </w:rPr>
        <w:t>3 MPAs have been legally established in Grenada, encompassing approximately 4% of nearshore coastal resources (defined as territorial waters out to 12 miles) and protecting co</w:t>
      </w:r>
      <w:r w:rsidR="000664C3">
        <w:rPr>
          <w:rFonts w:ascii="Times New Roman" w:hAnsi="Times New Roman" w:cs="Times New Roman"/>
        </w:rPr>
        <w:t>r</w:t>
      </w:r>
      <w:r w:rsidRPr="00384183">
        <w:rPr>
          <w:rFonts w:ascii="Times New Roman" w:hAnsi="Times New Roman" w:cs="Times New Roman"/>
        </w:rPr>
        <w:t xml:space="preserve">al reefs, mangroves, beaches and recreation and tourism areas (see Table 1).  </w:t>
      </w:r>
    </w:p>
    <w:p w14:paraId="1F0FB4C4" w:rsidR="00384183" w:rsidRPr="00384183" w:rsidRDefault="00384183" w:rsidP="000664C3">
      <w:pPr>
        <w:rPr>
          <w:rFonts w:ascii="Times New Roman" w:hAnsi="Times New Roman" w:cs="Times New Roman"/>
          <w:b/>
        </w:rPr>
      </w:pPr>
      <w:r w:rsidRPr="00384183">
        <w:rPr>
          <w:rFonts w:ascii="Times New Roman" w:hAnsi="Times New Roman" w:cs="Times New Roman"/>
          <w:b/>
        </w:rPr>
        <w:t xml:space="preserve">Table </w:t>
      </w:r>
      <w:r>
        <w:rPr>
          <w:rFonts w:ascii="Times New Roman" w:hAnsi="Times New Roman" w:cs="Times New Roman"/>
          <w:b/>
        </w:rPr>
        <w:t>1</w:t>
      </w:r>
      <w:r w:rsidRPr="00384183">
        <w:rPr>
          <w:rFonts w:ascii="Times New Roman" w:hAnsi="Times New Roman" w:cs="Times New Roman"/>
          <w:b/>
        </w:rPr>
        <w:t>.</w:t>
      </w:r>
      <w:r>
        <w:rPr>
          <w:rFonts w:ascii="Times New Roman" w:hAnsi="Times New Roman" w:cs="Times New Roman"/>
          <w:b/>
        </w:rPr>
        <w:t xml:space="preserve"> </w:t>
      </w:r>
      <w:r w:rsidRPr="00384183">
        <w:rPr>
          <w:rFonts w:ascii="Times New Roman" w:hAnsi="Times New Roman" w:cs="Times New Roman"/>
          <w:b/>
        </w:rPr>
        <w:t xml:space="preserve">Overview of Existing &amp; Proposed Protected Areas in Grenada </w:t>
      </w:r>
    </w:p>
    <w:tbl>
      <w:tblPr>
        <w:tblStyle w:val="TableGrid"/>
        <w:tblW w:w="10794" w:type="dxa"/>
        <w:tblInd w:w="-612" w:type="dxa"/>
        <w:tblLook w:val="04A0" w:firstRow="1" w:lastRow="0" w:firstColumn="1" w:lastColumn="0" w:noHBand="0" w:noVBand="1"/>
      </w:tblPr>
      <w:tblGrid>
        <w:gridCol w:w="1005"/>
        <w:gridCol w:w="1893"/>
        <w:gridCol w:w="3852"/>
        <w:gridCol w:w="1005"/>
        <w:gridCol w:w="1149"/>
        <w:gridCol w:w="885"/>
        <w:gridCol w:w="1005"/>
      </w:tblGrid>
      <w:tr w14:paraId="45B8734A" w:rsidR="00EA0BDC" w:rsidRPr="00384183" w:rsidTr="00EA0BDC">
        <w:trPr>
          <w:tblHeader/>
        </w:trPr>
        <w:tc>
          <w:tcPr>
            <w:tcW w:w="1005" w:type="dxa"/>
            <w:tcBorders>
              <w:bottom w:val="single" w:sz="4" w:space="0" w:color="auto"/>
            </w:tcBorders>
            <w:shd w:val="clear" w:color="auto" w:fill="D9D9D9" w:themeFill="background1" w:themeFillShade="D9"/>
          </w:tcPr>
          <w:p w14:paraId="3300F9CA"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 xml:space="preserve">Type </w:t>
            </w:r>
          </w:p>
        </w:tc>
        <w:tc>
          <w:tcPr>
            <w:tcW w:w="1893" w:type="dxa"/>
            <w:tcBorders>
              <w:bottom w:val="single" w:sz="4" w:space="0" w:color="auto"/>
            </w:tcBorders>
            <w:shd w:val="clear" w:color="auto" w:fill="D9D9D9" w:themeFill="background1" w:themeFillShade="D9"/>
          </w:tcPr>
          <w:p w14:paraId="458FA52B"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Official Name</w:t>
            </w:r>
          </w:p>
        </w:tc>
        <w:tc>
          <w:tcPr>
            <w:tcW w:w="3852" w:type="dxa"/>
            <w:tcBorders>
              <w:bottom w:val="single" w:sz="4" w:space="0" w:color="auto"/>
            </w:tcBorders>
            <w:shd w:val="clear" w:color="auto" w:fill="D9D9D9" w:themeFill="background1" w:themeFillShade="D9"/>
          </w:tcPr>
          <w:p w14:paraId="7B579D49"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 xml:space="preserve">Status </w:t>
            </w:r>
          </w:p>
        </w:tc>
        <w:tc>
          <w:tcPr>
            <w:tcW w:w="1005" w:type="dxa"/>
            <w:tcBorders>
              <w:bottom w:val="single" w:sz="4" w:space="0" w:color="auto"/>
            </w:tcBorders>
            <w:shd w:val="clear" w:color="auto" w:fill="D9D9D9" w:themeFill="background1" w:themeFillShade="D9"/>
          </w:tcPr>
          <w:p w14:paraId="400E3809"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Location</w:t>
            </w:r>
          </w:p>
          <w:p w14:paraId="170EA39E"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(Island)</w:t>
            </w:r>
          </w:p>
        </w:tc>
        <w:tc>
          <w:tcPr>
            <w:tcW w:w="1149" w:type="dxa"/>
            <w:tcBorders>
              <w:bottom w:val="single" w:sz="4" w:space="0" w:color="auto"/>
            </w:tcBorders>
            <w:shd w:val="clear" w:color="auto" w:fill="D9D9D9" w:themeFill="background1" w:themeFillShade="D9"/>
          </w:tcPr>
          <w:p w14:paraId="48E22F0D"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Terrestrial</w:t>
            </w:r>
          </w:p>
          <w:p w14:paraId="75A65DD7"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Area (ha)</w:t>
            </w:r>
          </w:p>
        </w:tc>
        <w:tc>
          <w:tcPr>
            <w:tcW w:w="885" w:type="dxa"/>
            <w:tcBorders>
              <w:bottom w:val="single" w:sz="4" w:space="0" w:color="auto"/>
            </w:tcBorders>
            <w:shd w:val="clear" w:color="auto" w:fill="D9D9D9" w:themeFill="background1" w:themeFillShade="D9"/>
          </w:tcPr>
          <w:p w14:paraId="4AD714B4"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Marine</w:t>
            </w:r>
          </w:p>
          <w:p w14:paraId="4E64B3DA"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Area (ha)*</w:t>
            </w:r>
          </w:p>
        </w:tc>
        <w:tc>
          <w:tcPr>
            <w:tcW w:w="1005" w:type="dxa"/>
            <w:tcBorders>
              <w:bottom w:val="single" w:sz="4" w:space="0" w:color="auto"/>
            </w:tcBorders>
            <w:shd w:val="clear" w:color="auto" w:fill="D9D9D9" w:themeFill="background1" w:themeFillShade="D9"/>
          </w:tcPr>
          <w:p w14:paraId="58011B20"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 xml:space="preserve">Total </w:t>
            </w:r>
          </w:p>
          <w:p w14:paraId="47891132"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Area (ha)</w:t>
            </w:r>
          </w:p>
        </w:tc>
      </w:tr>
      <w:tr w14:paraId="7A9F3A2B" w:rsidR="00384183" w:rsidRPr="00384183" w:rsidTr="00EA0BDC">
        <w:tc>
          <w:tcPr>
            <w:tcW w:w="10794" w:type="dxa"/>
            <w:gridSpan w:val="7"/>
            <w:shd w:val="clear" w:color="auto" w:fill="F2F2F2" w:themeFill="background1" w:themeFillShade="F2"/>
          </w:tcPr>
          <w:p w14:paraId="0EB3CA6D"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 xml:space="preserve">Terrestrial Protected Areas </w:t>
            </w:r>
          </w:p>
        </w:tc>
      </w:tr>
      <w:tr w14:paraId="649257EE" w:rsidR="00384183" w:rsidRPr="00384183" w:rsidTr="00EA0BDC">
        <w:trPr>
          <w:trHeight w:val="194"/>
        </w:trPr>
        <w:tc>
          <w:tcPr>
            <w:tcW w:w="1005" w:type="dxa"/>
            <w:vMerge w:val="restart"/>
          </w:tcPr>
          <w:p w14:paraId="45CECFC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Protected Area</w:t>
            </w:r>
          </w:p>
        </w:tc>
        <w:tc>
          <w:tcPr>
            <w:tcW w:w="1893" w:type="dxa"/>
          </w:tcPr>
          <w:p w14:paraId="242E737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Perseverance</w:t>
            </w:r>
          </w:p>
          <w:p w14:paraId="0F7D344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Protected Area and</w:t>
            </w:r>
          </w:p>
          <w:p w14:paraId="2403103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Dove Sanctuary</w:t>
            </w:r>
          </w:p>
        </w:tc>
        <w:tc>
          <w:tcPr>
            <w:tcW w:w="3852" w:type="dxa"/>
          </w:tcPr>
          <w:p w14:paraId="4CEBD60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has current management plan</w:t>
            </w:r>
          </w:p>
        </w:tc>
        <w:tc>
          <w:tcPr>
            <w:tcW w:w="1005" w:type="dxa"/>
          </w:tcPr>
          <w:p w14:paraId="559BCB2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1170478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w:t>
            </w:r>
          </w:p>
        </w:tc>
        <w:tc>
          <w:tcPr>
            <w:tcW w:w="885" w:type="dxa"/>
          </w:tcPr>
          <w:p w14:paraId="47B51E1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5774239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w:t>
            </w:r>
          </w:p>
        </w:tc>
      </w:tr>
      <w:tr w14:paraId="1CE3D23C" w:rsidR="00384183" w:rsidRPr="00384183" w:rsidTr="00EA0BDC">
        <w:trPr>
          <w:trHeight w:val="194"/>
        </w:trPr>
        <w:tc>
          <w:tcPr>
            <w:tcW w:w="1005" w:type="dxa"/>
            <w:vMerge/>
          </w:tcPr>
          <w:p w14:paraId="1286A76A" w:rsidR="00384183" w:rsidRPr="00384183" w:rsidRDefault="00384183" w:rsidP="00F24243">
            <w:pPr>
              <w:rPr>
                <w:rFonts w:ascii="Times New Roman" w:hAnsi="Times New Roman" w:cs="Times New Roman"/>
                <w:sz w:val="20"/>
                <w:szCs w:val="20"/>
              </w:rPr>
            </w:pPr>
          </w:p>
        </w:tc>
        <w:tc>
          <w:tcPr>
            <w:tcW w:w="1893" w:type="dxa"/>
          </w:tcPr>
          <w:p w14:paraId="6265B51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Beausejour Protected Area</w:t>
            </w:r>
          </w:p>
          <w:p w14:paraId="72E04FBE" w:rsidR="00384183" w:rsidRPr="00384183" w:rsidRDefault="00384183" w:rsidP="00F24243">
            <w:pPr>
              <w:rPr>
                <w:rFonts w:ascii="Times New Roman" w:hAnsi="Times New Roman" w:cs="Times New Roman"/>
                <w:sz w:val="20"/>
                <w:szCs w:val="20"/>
              </w:rPr>
            </w:pPr>
          </w:p>
        </w:tc>
        <w:tc>
          <w:tcPr>
            <w:tcW w:w="3852" w:type="dxa"/>
          </w:tcPr>
          <w:p w14:paraId="5D681F4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Cabinet approval (2011) for its addition to the Perseverance Protected Area. Legal establishment pending parliamentary approval and gazetting</w:t>
            </w:r>
          </w:p>
        </w:tc>
        <w:tc>
          <w:tcPr>
            <w:tcW w:w="1005" w:type="dxa"/>
          </w:tcPr>
          <w:p w14:paraId="5950C31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7169E95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40</w:t>
            </w:r>
          </w:p>
        </w:tc>
        <w:tc>
          <w:tcPr>
            <w:tcW w:w="885" w:type="dxa"/>
          </w:tcPr>
          <w:p w14:paraId="52DEFBF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5EA4235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40</w:t>
            </w:r>
          </w:p>
        </w:tc>
      </w:tr>
      <w:tr w14:paraId="6DFF657A" w:rsidR="00384183" w:rsidRPr="00384183" w:rsidTr="00EA0BDC">
        <w:trPr>
          <w:trHeight w:val="157"/>
        </w:trPr>
        <w:tc>
          <w:tcPr>
            <w:tcW w:w="1005" w:type="dxa"/>
            <w:vMerge w:val="restart"/>
          </w:tcPr>
          <w:p w14:paraId="7B1B072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National</w:t>
            </w:r>
          </w:p>
          <w:p w14:paraId="5506C25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Park </w:t>
            </w:r>
          </w:p>
        </w:tc>
        <w:tc>
          <w:tcPr>
            <w:tcW w:w="1893" w:type="dxa"/>
          </w:tcPr>
          <w:p w14:paraId="1C3E6AD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Mt. Hartman National</w:t>
            </w:r>
          </w:p>
          <w:p w14:paraId="7E9A248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Park and Dove</w:t>
            </w:r>
          </w:p>
          <w:p w14:paraId="5109EFE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Sanctuary </w:t>
            </w:r>
          </w:p>
          <w:p w14:paraId="1CB10257" w:rsidR="00384183" w:rsidRPr="00384183" w:rsidRDefault="00384183" w:rsidP="00F24243">
            <w:pPr>
              <w:rPr>
                <w:rFonts w:ascii="Times New Roman" w:hAnsi="Times New Roman" w:cs="Times New Roman"/>
                <w:sz w:val="20"/>
                <w:szCs w:val="20"/>
              </w:rPr>
            </w:pPr>
          </w:p>
        </w:tc>
        <w:tc>
          <w:tcPr>
            <w:tcW w:w="3852" w:type="dxa"/>
          </w:tcPr>
          <w:p w14:paraId="20A93D4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Legally established (1996), then de-gazetted in 2006. Re-designed boundaries received Cabinet approval in 2011; legal establishment pending in parliament; draft management plan (1998) is out of date.  </w:t>
            </w:r>
          </w:p>
        </w:tc>
        <w:tc>
          <w:tcPr>
            <w:tcW w:w="1005" w:type="dxa"/>
          </w:tcPr>
          <w:p w14:paraId="77AFE6E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6DEB507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62</w:t>
            </w:r>
          </w:p>
        </w:tc>
        <w:tc>
          <w:tcPr>
            <w:tcW w:w="885" w:type="dxa"/>
          </w:tcPr>
          <w:p w14:paraId="79B2F44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7808B92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62</w:t>
            </w:r>
          </w:p>
        </w:tc>
      </w:tr>
      <w:tr w14:paraId="4D7ABB1C" w:rsidR="00384183" w:rsidRPr="00384183" w:rsidTr="00EA0BDC">
        <w:trPr>
          <w:trHeight w:val="75"/>
        </w:trPr>
        <w:tc>
          <w:tcPr>
            <w:tcW w:w="1005" w:type="dxa"/>
            <w:vMerge/>
          </w:tcPr>
          <w:p w14:paraId="064E6A7E" w:rsidR="00384183" w:rsidRPr="00384183" w:rsidRDefault="00384183" w:rsidP="00F24243">
            <w:pPr>
              <w:rPr>
                <w:rFonts w:ascii="Times New Roman" w:hAnsi="Times New Roman" w:cs="Times New Roman"/>
                <w:sz w:val="20"/>
                <w:szCs w:val="20"/>
              </w:rPr>
            </w:pPr>
          </w:p>
        </w:tc>
        <w:tc>
          <w:tcPr>
            <w:tcW w:w="1893" w:type="dxa"/>
          </w:tcPr>
          <w:p w14:paraId="524380E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Levera</w:t>
            </w:r>
          </w:p>
        </w:tc>
        <w:tc>
          <w:tcPr>
            <w:tcW w:w="3852" w:type="dxa"/>
          </w:tcPr>
          <w:p w14:paraId="24EBFDF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Cabinet approval. Requires legalization/ gazetting; has only a draft management plan</w:t>
            </w:r>
          </w:p>
        </w:tc>
        <w:tc>
          <w:tcPr>
            <w:tcW w:w="1005" w:type="dxa"/>
          </w:tcPr>
          <w:p w14:paraId="543B807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1D7B3EC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123</w:t>
            </w:r>
          </w:p>
        </w:tc>
        <w:tc>
          <w:tcPr>
            <w:tcW w:w="885" w:type="dxa"/>
          </w:tcPr>
          <w:p w14:paraId="293D511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0804EFC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123</w:t>
            </w:r>
          </w:p>
        </w:tc>
      </w:tr>
      <w:tr w14:paraId="3CA66757" w:rsidR="00384183" w:rsidRPr="00384183" w:rsidTr="00EA0BDC">
        <w:trPr>
          <w:trHeight w:val="75"/>
        </w:trPr>
        <w:tc>
          <w:tcPr>
            <w:tcW w:w="1005" w:type="dxa"/>
            <w:vMerge/>
          </w:tcPr>
          <w:p w14:paraId="4973E9A0" w:rsidR="00384183" w:rsidRPr="00384183" w:rsidRDefault="00384183" w:rsidP="00F24243">
            <w:pPr>
              <w:rPr>
                <w:rFonts w:ascii="Times New Roman" w:hAnsi="Times New Roman" w:cs="Times New Roman"/>
                <w:sz w:val="20"/>
                <w:szCs w:val="20"/>
              </w:rPr>
            </w:pPr>
          </w:p>
        </w:tc>
        <w:tc>
          <w:tcPr>
            <w:tcW w:w="1893" w:type="dxa"/>
          </w:tcPr>
          <w:p w14:paraId="34482BC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Lagoon Road</w:t>
            </w:r>
          </w:p>
        </w:tc>
        <w:tc>
          <w:tcPr>
            <w:tcW w:w="3852" w:type="dxa"/>
          </w:tcPr>
          <w:p w14:paraId="6B4BDBA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Proposed only</w:t>
            </w:r>
          </w:p>
        </w:tc>
        <w:tc>
          <w:tcPr>
            <w:tcW w:w="1005" w:type="dxa"/>
          </w:tcPr>
          <w:p w14:paraId="6E1B818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5E73CB0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c>
          <w:tcPr>
            <w:tcW w:w="885" w:type="dxa"/>
          </w:tcPr>
          <w:p w14:paraId="2D87909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34A8EE8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r>
      <w:tr w14:paraId="5601DF4E" w:rsidR="00384183" w:rsidRPr="00384183" w:rsidTr="00EA0BDC">
        <w:trPr>
          <w:trHeight w:val="75"/>
        </w:trPr>
        <w:tc>
          <w:tcPr>
            <w:tcW w:w="1005" w:type="dxa"/>
            <w:vMerge w:val="restart"/>
          </w:tcPr>
          <w:p w14:paraId="183E3E9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Forest</w:t>
            </w:r>
          </w:p>
          <w:p w14:paraId="7186519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Reserve</w:t>
            </w:r>
          </w:p>
        </w:tc>
        <w:tc>
          <w:tcPr>
            <w:tcW w:w="1893" w:type="dxa"/>
          </w:tcPr>
          <w:p w14:paraId="5CFACA8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Grand Etang </w:t>
            </w:r>
          </w:p>
        </w:tc>
        <w:tc>
          <w:tcPr>
            <w:tcW w:w="3852" w:type="dxa"/>
          </w:tcPr>
          <w:p w14:paraId="05221F2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has a current management plan</w:t>
            </w:r>
          </w:p>
        </w:tc>
        <w:tc>
          <w:tcPr>
            <w:tcW w:w="1005" w:type="dxa"/>
          </w:tcPr>
          <w:p w14:paraId="68E4EDD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0C9FD4B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1544</w:t>
            </w:r>
          </w:p>
        </w:tc>
        <w:tc>
          <w:tcPr>
            <w:tcW w:w="885" w:type="dxa"/>
          </w:tcPr>
          <w:p w14:paraId="1398C34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0F8B959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1544</w:t>
            </w:r>
          </w:p>
        </w:tc>
      </w:tr>
      <w:tr w14:paraId="299064F9" w:rsidR="00384183" w:rsidRPr="00384183" w:rsidTr="00EA0BDC">
        <w:trPr>
          <w:trHeight w:val="75"/>
        </w:trPr>
        <w:tc>
          <w:tcPr>
            <w:tcW w:w="1005" w:type="dxa"/>
            <w:vMerge/>
          </w:tcPr>
          <w:p w14:paraId="25944EFA" w:rsidR="00384183" w:rsidRPr="00384183" w:rsidRDefault="00384183" w:rsidP="00F24243">
            <w:pPr>
              <w:rPr>
                <w:rFonts w:ascii="Times New Roman" w:hAnsi="Times New Roman" w:cs="Times New Roman"/>
                <w:sz w:val="20"/>
                <w:szCs w:val="20"/>
              </w:rPr>
            </w:pPr>
          </w:p>
        </w:tc>
        <w:tc>
          <w:tcPr>
            <w:tcW w:w="1893" w:type="dxa"/>
          </w:tcPr>
          <w:p w14:paraId="3E73445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Annandale </w:t>
            </w:r>
          </w:p>
        </w:tc>
        <w:tc>
          <w:tcPr>
            <w:tcW w:w="3852" w:type="dxa"/>
          </w:tcPr>
          <w:p w14:paraId="07520DE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has a current management plan</w:t>
            </w:r>
          </w:p>
        </w:tc>
        <w:tc>
          <w:tcPr>
            <w:tcW w:w="1005" w:type="dxa"/>
          </w:tcPr>
          <w:p w14:paraId="2C4298C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5DEBE44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240</w:t>
            </w:r>
          </w:p>
        </w:tc>
        <w:tc>
          <w:tcPr>
            <w:tcW w:w="885" w:type="dxa"/>
          </w:tcPr>
          <w:p w14:paraId="2384F71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4E0229D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200</w:t>
            </w:r>
          </w:p>
        </w:tc>
      </w:tr>
      <w:tr w14:paraId="5F6B6A6F" w:rsidR="00384183" w:rsidRPr="00384183" w:rsidTr="00EA0BDC">
        <w:trPr>
          <w:trHeight w:val="75"/>
        </w:trPr>
        <w:tc>
          <w:tcPr>
            <w:tcW w:w="1005" w:type="dxa"/>
            <w:vMerge/>
          </w:tcPr>
          <w:p w14:paraId="4F69171F" w:rsidR="00384183" w:rsidRPr="00384183" w:rsidRDefault="00384183" w:rsidP="00F24243">
            <w:pPr>
              <w:rPr>
                <w:rFonts w:ascii="Times New Roman" w:hAnsi="Times New Roman" w:cs="Times New Roman"/>
                <w:sz w:val="20"/>
                <w:szCs w:val="20"/>
              </w:rPr>
            </w:pPr>
          </w:p>
        </w:tc>
        <w:tc>
          <w:tcPr>
            <w:tcW w:w="1893" w:type="dxa"/>
          </w:tcPr>
          <w:p w14:paraId="0C383CE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Mt. St. Catherine </w:t>
            </w:r>
          </w:p>
        </w:tc>
        <w:tc>
          <w:tcPr>
            <w:tcW w:w="3852" w:type="dxa"/>
          </w:tcPr>
          <w:p w14:paraId="1022342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Has been surveyed, but not legally established (Govt. needs to buy private lands, but does not have the funds)</w:t>
            </w:r>
          </w:p>
        </w:tc>
        <w:tc>
          <w:tcPr>
            <w:tcW w:w="1005" w:type="dxa"/>
          </w:tcPr>
          <w:p w14:paraId="4DF451C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092C9EC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1000</w:t>
            </w:r>
          </w:p>
        </w:tc>
        <w:tc>
          <w:tcPr>
            <w:tcW w:w="885" w:type="dxa"/>
          </w:tcPr>
          <w:p w14:paraId="3BD5845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482C984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1000</w:t>
            </w:r>
          </w:p>
        </w:tc>
      </w:tr>
      <w:tr w14:paraId="4ADA0C31" w:rsidR="00384183" w:rsidRPr="00384183" w:rsidTr="00EA0BDC">
        <w:trPr>
          <w:trHeight w:val="75"/>
        </w:trPr>
        <w:tc>
          <w:tcPr>
            <w:tcW w:w="1005" w:type="dxa"/>
            <w:vMerge/>
          </w:tcPr>
          <w:p w14:paraId="21FDBC07" w:rsidR="00384183" w:rsidRPr="00384183" w:rsidRDefault="00384183" w:rsidP="00F24243">
            <w:pPr>
              <w:rPr>
                <w:rFonts w:ascii="Times New Roman" w:hAnsi="Times New Roman" w:cs="Times New Roman"/>
                <w:sz w:val="20"/>
                <w:szCs w:val="20"/>
              </w:rPr>
            </w:pPr>
          </w:p>
        </w:tc>
        <w:tc>
          <w:tcPr>
            <w:tcW w:w="1893" w:type="dxa"/>
          </w:tcPr>
          <w:p w14:paraId="248B7BD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Morne Gazo</w:t>
            </w:r>
          </w:p>
        </w:tc>
        <w:tc>
          <w:tcPr>
            <w:tcW w:w="3852" w:type="dxa"/>
          </w:tcPr>
          <w:p w14:paraId="46D2DB6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Legally established; no management plant </w:t>
            </w:r>
          </w:p>
        </w:tc>
        <w:tc>
          <w:tcPr>
            <w:tcW w:w="1005" w:type="dxa"/>
          </w:tcPr>
          <w:p w14:paraId="69BAE6A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2E22E94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25</w:t>
            </w:r>
          </w:p>
        </w:tc>
        <w:tc>
          <w:tcPr>
            <w:tcW w:w="885" w:type="dxa"/>
          </w:tcPr>
          <w:p w14:paraId="2026597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23825F4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25</w:t>
            </w:r>
          </w:p>
        </w:tc>
      </w:tr>
      <w:tr w14:paraId="680813CB" w:rsidR="00384183" w:rsidRPr="00384183" w:rsidTr="00EA0BDC">
        <w:trPr>
          <w:trHeight w:val="75"/>
        </w:trPr>
        <w:tc>
          <w:tcPr>
            <w:tcW w:w="1005" w:type="dxa"/>
            <w:vMerge/>
          </w:tcPr>
          <w:p w14:paraId="4AA75DF1" w:rsidR="00384183" w:rsidRPr="00384183" w:rsidRDefault="00384183" w:rsidP="00F24243">
            <w:pPr>
              <w:rPr>
                <w:rFonts w:ascii="Times New Roman" w:hAnsi="Times New Roman" w:cs="Times New Roman"/>
                <w:sz w:val="20"/>
                <w:szCs w:val="20"/>
              </w:rPr>
            </w:pPr>
          </w:p>
        </w:tc>
        <w:tc>
          <w:tcPr>
            <w:tcW w:w="1893" w:type="dxa"/>
          </w:tcPr>
          <w:p w14:paraId="5F71A84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High North </w:t>
            </w:r>
          </w:p>
        </w:tc>
        <w:tc>
          <w:tcPr>
            <w:tcW w:w="3852" w:type="dxa"/>
          </w:tcPr>
          <w:p w14:paraId="7C64FEE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no management plant exists</w:t>
            </w:r>
          </w:p>
        </w:tc>
        <w:tc>
          <w:tcPr>
            <w:tcW w:w="1005" w:type="dxa"/>
          </w:tcPr>
          <w:p w14:paraId="1CB829B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Carriacou</w:t>
            </w:r>
          </w:p>
        </w:tc>
        <w:tc>
          <w:tcPr>
            <w:tcW w:w="1149" w:type="dxa"/>
          </w:tcPr>
          <w:p w14:paraId="72E69A0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c>
          <w:tcPr>
            <w:tcW w:w="885" w:type="dxa"/>
          </w:tcPr>
          <w:p w14:paraId="6495CD4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79AE95C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r>
      <w:tr w14:paraId="3EAABDA5" w:rsidR="00384183" w:rsidRPr="00384183" w:rsidTr="00EA0BDC">
        <w:trPr>
          <w:trHeight w:val="75"/>
        </w:trPr>
        <w:tc>
          <w:tcPr>
            <w:tcW w:w="1005" w:type="dxa"/>
            <w:vMerge/>
          </w:tcPr>
          <w:p w14:paraId="15606864" w:rsidR="00384183" w:rsidRPr="00384183" w:rsidRDefault="00384183" w:rsidP="00F24243">
            <w:pPr>
              <w:rPr>
                <w:rFonts w:ascii="Times New Roman" w:hAnsi="Times New Roman" w:cs="Times New Roman"/>
                <w:sz w:val="20"/>
                <w:szCs w:val="20"/>
              </w:rPr>
            </w:pPr>
          </w:p>
        </w:tc>
        <w:tc>
          <w:tcPr>
            <w:tcW w:w="1893" w:type="dxa"/>
          </w:tcPr>
          <w:p w14:paraId="2AAB1B7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Richmond Hill</w:t>
            </w:r>
          </w:p>
        </w:tc>
        <w:tc>
          <w:tcPr>
            <w:tcW w:w="3852" w:type="dxa"/>
          </w:tcPr>
          <w:p w14:paraId="77E6EFD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Legally established; no management plant </w:t>
            </w:r>
          </w:p>
        </w:tc>
        <w:tc>
          <w:tcPr>
            <w:tcW w:w="1005" w:type="dxa"/>
          </w:tcPr>
          <w:p w14:paraId="6ACA0CB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00B2E1E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w:t>
            </w:r>
          </w:p>
        </w:tc>
        <w:tc>
          <w:tcPr>
            <w:tcW w:w="885" w:type="dxa"/>
          </w:tcPr>
          <w:p w14:paraId="1063CE9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6B88055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w:t>
            </w:r>
          </w:p>
        </w:tc>
      </w:tr>
      <w:tr w14:paraId="10C334B1" w:rsidR="00384183" w:rsidRPr="00384183" w:rsidTr="00EA0BDC">
        <w:trPr>
          <w:trHeight w:val="75"/>
        </w:trPr>
        <w:tc>
          <w:tcPr>
            <w:tcW w:w="1005" w:type="dxa"/>
            <w:vMerge/>
          </w:tcPr>
          <w:p w14:paraId="1D49B1D4" w:rsidR="00384183" w:rsidRPr="00384183" w:rsidRDefault="00384183" w:rsidP="00F24243">
            <w:pPr>
              <w:rPr>
                <w:rFonts w:ascii="Times New Roman" w:hAnsi="Times New Roman" w:cs="Times New Roman"/>
                <w:sz w:val="20"/>
                <w:szCs w:val="20"/>
              </w:rPr>
            </w:pPr>
          </w:p>
        </w:tc>
        <w:tc>
          <w:tcPr>
            <w:tcW w:w="1893" w:type="dxa"/>
          </w:tcPr>
          <w:p w14:paraId="0EB0171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Grand Bras</w:t>
            </w:r>
          </w:p>
        </w:tc>
        <w:tc>
          <w:tcPr>
            <w:tcW w:w="3852" w:type="dxa"/>
          </w:tcPr>
          <w:p w14:paraId="0F0AB3E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Legally established; no management plant </w:t>
            </w:r>
          </w:p>
        </w:tc>
        <w:tc>
          <w:tcPr>
            <w:tcW w:w="1005" w:type="dxa"/>
          </w:tcPr>
          <w:p w14:paraId="214F53B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2486BA6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4</w:t>
            </w:r>
          </w:p>
        </w:tc>
        <w:tc>
          <w:tcPr>
            <w:tcW w:w="885" w:type="dxa"/>
          </w:tcPr>
          <w:p w14:paraId="080D8D8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0F119FC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4</w:t>
            </w:r>
          </w:p>
        </w:tc>
      </w:tr>
      <w:tr w14:paraId="35B0CD42" w:rsidR="00384183" w:rsidRPr="00384183" w:rsidTr="00EA0BDC">
        <w:trPr>
          <w:trHeight w:val="75"/>
        </w:trPr>
        <w:tc>
          <w:tcPr>
            <w:tcW w:w="1005" w:type="dxa"/>
            <w:vMerge/>
          </w:tcPr>
          <w:p w14:paraId="14CE3242" w:rsidR="00384183" w:rsidRPr="00384183" w:rsidRDefault="00384183" w:rsidP="00F24243">
            <w:pPr>
              <w:rPr>
                <w:rFonts w:ascii="Times New Roman" w:hAnsi="Times New Roman" w:cs="Times New Roman"/>
                <w:sz w:val="20"/>
                <w:szCs w:val="20"/>
              </w:rPr>
            </w:pPr>
          </w:p>
        </w:tc>
        <w:tc>
          <w:tcPr>
            <w:tcW w:w="1893" w:type="dxa"/>
          </w:tcPr>
          <w:p w14:paraId="3A4812F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Mt. Moritz</w:t>
            </w:r>
          </w:p>
        </w:tc>
        <w:tc>
          <w:tcPr>
            <w:tcW w:w="3852" w:type="dxa"/>
          </w:tcPr>
          <w:p w14:paraId="46E731C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no management plant</w:t>
            </w:r>
          </w:p>
        </w:tc>
        <w:tc>
          <w:tcPr>
            <w:tcW w:w="1005" w:type="dxa"/>
          </w:tcPr>
          <w:p w14:paraId="681458D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4CC5E7E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w:t>
            </w:r>
          </w:p>
        </w:tc>
        <w:tc>
          <w:tcPr>
            <w:tcW w:w="885" w:type="dxa"/>
          </w:tcPr>
          <w:p w14:paraId="25D0AEE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7B6D7BB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w:t>
            </w:r>
          </w:p>
        </w:tc>
      </w:tr>
      <w:tr w14:paraId="056DF583" w:rsidR="00384183" w:rsidRPr="00384183" w:rsidTr="00EA0BDC">
        <w:tc>
          <w:tcPr>
            <w:tcW w:w="1005" w:type="dxa"/>
          </w:tcPr>
          <w:p w14:paraId="1AF0E51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Historical</w:t>
            </w:r>
          </w:p>
          <w:p w14:paraId="1F49FA1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Cultural</w:t>
            </w:r>
          </w:p>
        </w:tc>
        <w:tc>
          <w:tcPr>
            <w:tcW w:w="1893" w:type="dxa"/>
          </w:tcPr>
          <w:p w14:paraId="619B3AD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Pearls Crown Lands </w:t>
            </w:r>
          </w:p>
        </w:tc>
        <w:tc>
          <w:tcPr>
            <w:tcW w:w="3852" w:type="dxa"/>
          </w:tcPr>
          <w:p w14:paraId="7E7A3BF8"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Proposed; mostly private lands; boundaries unclear</w:t>
            </w:r>
          </w:p>
        </w:tc>
        <w:tc>
          <w:tcPr>
            <w:tcW w:w="1005" w:type="dxa"/>
          </w:tcPr>
          <w:p w14:paraId="271FF82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314A001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c>
          <w:tcPr>
            <w:tcW w:w="885" w:type="dxa"/>
          </w:tcPr>
          <w:p w14:paraId="6C84D06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1005" w:type="dxa"/>
          </w:tcPr>
          <w:p w14:paraId="6AD349D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Unknown</w:t>
            </w:r>
          </w:p>
        </w:tc>
      </w:tr>
      <w:tr w14:paraId="1289A71F" w:rsidR="00384183" w:rsidRPr="00384183" w:rsidTr="00EA0BDC">
        <w:tc>
          <w:tcPr>
            <w:tcW w:w="7755" w:type="dxa"/>
            <w:gridSpan w:val="4"/>
            <w:tcBorders>
              <w:bottom w:val="single" w:sz="4" w:space="0" w:color="auto"/>
            </w:tcBorders>
          </w:tcPr>
          <w:p w14:paraId="51777680" w:rsidR="00384183" w:rsidRPr="00384183" w:rsidRDefault="00384183" w:rsidP="00EA0BDC">
            <w:pPr>
              <w:jc w:val="right"/>
              <w:rPr>
                <w:rFonts w:ascii="Times New Roman" w:hAnsi="Times New Roman" w:cs="Times New Roman"/>
                <w:sz w:val="20"/>
                <w:szCs w:val="20"/>
              </w:rPr>
            </w:pPr>
            <w:r w:rsidRPr="00384183">
              <w:rPr>
                <w:rFonts w:ascii="Times New Roman" w:hAnsi="Times New Roman" w:cs="Times New Roman"/>
                <w:b/>
                <w:sz w:val="20"/>
                <w:szCs w:val="20"/>
              </w:rPr>
              <w:t xml:space="preserve">Total – Terrestrial PAs </w:t>
            </w:r>
          </w:p>
        </w:tc>
        <w:tc>
          <w:tcPr>
            <w:tcW w:w="1149" w:type="dxa"/>
            <w:tcBorders>
              <w:bottom w:val="single" w:sz="4" w:space="0" w:color="auto"/>
            </w:tcBorders>
          </w:tcPr>
          <w:p w14:paraId="3893E95F"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3,154</w:t>
            </w:r>
          </w:p>
        </w:tc>
        <w:tc>
          <w:tcPr>
            <w:tcW w:w="885" w:type="dxa"/>
            <w:tcBorders>
              <w:bottom w:val="single" w:sz="4" w:space="0" w:color="auto"/>
            </w:tcBorders>
          </w:tcPr>
          <w:p w14:paraId="5E81834C"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0</w:t>
            </w:r>
          </w:p>
        </w:tc>
        <w:tc>
          <w:tcPr>
            <w:tcW w:w="1005" w:type="dxa"/>
            <w:tcBorders>
              <w:bottom w:val="single" w:sz="4" w:space="0" w:color="auto"/>
            </w:tcBorders>
          </w:tcPr>
          <w:p w14:paraId="43EE947F"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3,154</w:t>
            </w:r>
          </w:p>
        </w:tc>
      </w:tr>
      <w:tr w14:paraId="5D628B8D" w:rsidR="00384183" w:rsidRPr="00384183" w:rsidTr="00EA0BDC">
        <w:tc>
          <w:tcPr>
            <w:tcW w:w="10794" w:type="dxa"/>
            <w:gridSpan w:val="7"/>
            <w:shd w:val="clear" w:color="auto" w:fill="F2F2F2" w:themeFill="background1" w:themeFillShade="F2"/>
          </w:tcPr>
          <w:p w14:paraId="4A272A4C"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Marine Protected Areas*</w:t>
            </w:r>
          </w:p>
        </w:tc>
      </w:tr>
      <w:tr w14:paraId="1199ED73" w:rsidR="00384183" w:rsidRPr="00384183" w:rsidTr="00EA0BDC">
        <w:trPr>
          <w:trHeight w:val="57"/>
        </w:trPr>
        <w:tc>
          <w:tcPr>
            <w:tcW w:w="1005" w:type="dxa"/>
            <w:vMerge w:val="restart"/>
          </w:tcPr>
          <w:p w14:paraId="3903767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Marine</w:t>
            </w:r>
          </w:p>
          <w:p w14:paraId="360FA6B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Protected </w:t>
            </w:r>
          </w:p>
          <w:p w14:paraId="4C7134D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Area </w:t>
            </w:r>
          </w:p>
        </w:tc>
        <w:tc>
          <w:tcPr>
            <w:tcW w:w="1893" w:type="dxa"/>
          </w:tcPr>
          <w:p w14:paraId="1F72D22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Sandy Island/ Oyster</w:t>
            </w:r>
          </w:p>
          <w:p w14:paraId="111BA58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Bay </w:t>
            </w:r>
          </w:p>
        </w:tc>
        <w:tc>
          <w:tcPr>
            <w:tcW w:w="3852" w:type="dxa"/>
          </w:tcPr>
          <w:p w14:paraId="02330B9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operating with management plan</w:t>
            </w:r>
          </w:p>
        </w:tc>
        <w:tc>
          <w:tcPr>
            <w:tcW w:w="1005" w:type="dxa"/>
          </w:tcPr>
          <w:p w14:paraId="4381596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Carriacou</w:t>
            </w:r>
          </w:p>
        </w:tc>
        <w:tc>
          <w:tcPr>
            <w:tcW w:w="1149" w:type="dxa"/>
          </w:tcPr>
          <w:p w14:paraId="4299D06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w:t>
            </w:r>
          </w:p>
        </w:tc>
        <w:tc>
          <w:tcPr>
            <w:tcW w:w="885" w:type="dxa"/>
          </w:tcPr>
          <w:p w14:paraId="5060087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780</w:t>
            </w:r>
          </w:p>
        </w:tc>
        <w:tc>
          <w:tcPr>
            <w:tcW w:w="1005" w:type="dxa"/>
          </w:tcPr>
          <w:p w14:paraId="46B4319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880</w:t>
            </w:r>
          </w:p>
        </w:tc>
      </w:tr>
      <w:tr w14:paraId="07E9F77A" w:rsidR="00384183" w:rsidRPr="00384183" w:rsidTr="00EA0BDC">
        <w:trPr>
          <w:trHeight w:val="52"/>
        </w:trPr>
        <w:tc>
          <w:tcPr>
            <w:tcW w:w="1005" w:type="dxa"/>
            <w:vMerge/>
          </w:tcPr>
          <w:p w14:paraId="389E8711" w:rsidR="00384183" w:rsidRPr="00384183" w:rsidRDefault="00384183" w:rsidP="00F24243">
            <w:pPr>
              <w:rPr>
                <w:rFonts w:ascii="Times New Roman" w:hAnsi="Times New Roman" w:cs="Times New Roman"/>
                <w:sz w:val="20"/>
                <w:szCs w:val="20"/>
              </w:rPr>
            </w:pPr>
          </w:p>
        </w:tc>
        <w:tc>
          <w:tcPr>
            <w:tcW w:w="1893" w:type="dxa"/>
          </w:tcPr>
          <w:p w14:paraId="1DAE9B7C"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Moliniere/ Beausejour  </w:t>
            </w:r>
          </w:p>
        </w:tc>
        <w:tc>
          <w:tcPr>
            <w:tcW w:w="3852" w:type="dxa"/>
          </w:tcPr>
          <w:p w14:paraId="119A3CF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operating with management plan</w:t>
            </w:r>
          </w:p>
        </w:tc>
        <w:tc>
          <w:tcPr>
            <w:tcW w:w="1005" w:type="dxa"/>
          </w:tcPr>
          <w:p w14:paraId="71E4D5C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6F8FB97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885" w:type="dxa"/>
          </w:tcPr>
          <w:p w14:paraId="2F3D9FC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300</w:t>
            </w:r>
          </w:p>
        </w:tc>
        <w:tc>
          <w:tcPr>
            <w:tcW w:w="1005" w:type="dxa"/>
          </w:tcPr>
          <w:p w14:paraId="7278FA4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300</w:t>
            </w:r>
          </w:p>
        </w:tc>
      </w:tr>
      <w:tr w14:paraId="4FD9279D" w:rsidR="00384183" w:rsidRPr="00384183" w:rsidTr="00EA0BDC">
        <w:trPr>
          <w:trHeight w:val="52"/>
        </w:trPr>
        <w:tc>
          <w:tcPr>
            <w:tcW w:w="1005" w:type="dxa"/>
            <w:vMerge/>
          </w:tcPr>
          <w:p w14:paraId="6168E7CE" w:rsidR="00384183" w:rsidRPr="00384183" w:rsidRDefault="00384183" w:rsidP="00F24243">
            <w:pPr>
              <w:rPr>
                <w:rFonts w:ascii="Times New Roman" w:hAnsi="Times New Roman" w:cs="Times New Roman"/>
                <w:sz w:val="20"/>
                <w:szCs w:val="20"/>
              </w:rPr>
            </w:pPr>
          </w:p>
        </w:tc>
        <w:tc>
          <w:tcPr>
            <w:tcW w:w="1893" w:type="dxa"/>
          </w:tcPr>
          <w:p w14:paraId="2EC893C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Woburn/ Clarks Court Bay </w:t>
            </w:r>
          </w:p>
        </w:tc>
        <w:tc>
          <w:tcPr>
            <w:tcW w:w="3852" w:type="dxa"/>
          </w:tcPr>
          <w:p w14:paraId="6D0DC96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Legally established; has management plan but not operational until early 2013</w:t>
            </w:r>
          </w:p>
        </w:tc>
        <w:tc>
          <w:tcPr>
            <w:tcW w:w="1005" w:type="dxa"/>
          </w:tcPr>
          <w:p w14:paraId="69A33C81"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6BFFB1B5"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885" w:type="dxa"/>
          </w:tcPr>
          <w:p w14:paraId="222B46B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600</w:t>
            </w:r>
          </w:p>
        </w:tc>
        <w:tc>
          <w:tcPr>
            <w:tcW w:w="1005" w:type="dxa"/>
          </w:tcPr>
          <w:p w14:paraId="24376A1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600</w:t>
            </w:r>
          </w:p>
        </w:tc>
      </w:tr>
      <w:tr w14:paraId="0EC5AC94" w:rsidR="00384183" w:rsidRPr="00384183" w:rsidTr="00EA0BDC">
        <w:trPr>
          <w:trHeight w:val="52"/>
        </w:trPr>
        <w:tc>
          <w:tcPr>
            <w:tcW w:w="1005" w:type="dxa"/>
            <w:vMerge/>
          </w:tcPr>
          <w:p w14:paraId="530F43E4" w:rsidR="00384183" w:rsidRPr="00384183" w:rsidRDefault="00384183" w:rsidP="00F24243">
            <w:pPr>
              <w:rPr>
                <w:rFonts w:ascii="Times New Roman" w:hAnsi="Times New Roman" w:cs="Times New Roman"/>
                <w:sz w:val="20"/>
                <w:szCs w:val="20"/>
              </w:rPr>
            </w:pPr>
          </w:p>
        </w:tc>
        <w:tc>
          <w:tcPr>
            <w:tcW w:w="1893" w:type="dxa"/>
          </w:tcPr>
          <w:p w14:paraId="4F79A42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Grand Anse </w:t>
            </w:r>
          </w:p>
        </w:tc>
        <w:tc>
          <w:tcPr>
            <w:tcW w:w="3852" w:type="dxa"/>
          </w:tcPr>
          <w:p w14:paraId="30901C8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To be legally established and managed by late 2013</w:t>
            </w:r>
          </w:p>
        </w:tc>
        <w:tc>
          <w:tcPr>
            <w:tcW w:w="1005" w:type="dxa"/>
          </w:tcPr>
          <w:p w14:paraId="71C238C2"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376BA6B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885" w:type="dxa"/>
          </w:tcPr>
          <w:p w14:paraId="7020E8A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1,500</w:t>
            </w:r>
          </w:p>
        </w:tc>
        <w:tc>
          <w:tcPr>
            <w:tcW w:w="1005" w:type="dxa"/>
          </w:tcPr>
          <w:p w14:paraId="354D445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1,500</w:t>
            </w:r>
          </w:p>
        </w:tc>
      </w:tr>
      <w:tr w14:paraId="2F10E25A" w:rsidR="00384183" w:rsidRPr="00384183" w:rsidTr="00EA0BDC">
        <w:trPr>
          <w:trHeight w:val="52"/>
        </w:trPr>
        <w:tc>
          <w:tcPr>
            <w:tcW w:w="1005" w:type="dxa"/>
            <w:vMerge/>
          </w:tcPr>
          <w:p w14:paraId="16B64131" w:rsidR="00384183" w:rsidRPr="00384183" w:rsidRDefault="00384183" w:rsidP="00F24243">
            <w:pPr>
              <w:rPr>
                <w:rFonts w:ascii="Times New Roman" w:hAnsi="Times New Roman" w:cs="Times New Roman"/>
                <w:sz w:val="20"/>
                <w:szCs w:val="20"/>
              </w:rPr>
            </w:pPr>
          </w:p>
        </w:tc>
        <w:tc>
          <w:tcPr>
            <w:tcW w:w="1893" w:type="dxa"/>
          </w:tcPr>
          <w:p w14:paraId="595F7A1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Southeast Coast </w:t>
            </w:r>
          </w:p>
        </w:tc>
        <w:tc>
          <w:tcPr>
            <w:tcW w:w="3852" w:type="dxa"/>
          </w:tcPr>
          <w:p w14:paraId="5BFAA98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To be legally established and managed by late 2013</w:t>
            </w:r>
          </w:p>
        </w:tc>
        <w:tc>
          <w:tcPr>
            <w:tcW w:w="1005" w:type="dxa"/>
          </w:tcPr>
          <w:p w14:paraId="74524FF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18BDD983"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0</w:t>
            </w:r>
          </w:p>
        </w:tc>
        <w:tc>
          <w:tcPr>
            <w:tcW w:w="885" w:type="dxa"/>
          </w:tcPr>
          <w:p w14:paraId="5BC8A0AF"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7,000</w:t>
            </w:r>
          </w:p>
        </w:tc>
        <w:tc>
          <w:tcPr>
            <w:tcW w:w="1005" w:type="dxa"/>
          </w:tcPr>
          <w:p w14:paraId="1F016A6B"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7,000</w:t>
            </w:r>
          </w:p>
        </w:tc>
      </w:tr>
      <w:tr w14:paraId="2E1A337C" w:rsidR="00384183" w:rsidRPr="00384183" w:rsidTr="00EA0BDC">
        <w:trPr>
          <w:trHeight w:val="52"/>
        </w:trPr>
        <w:tc>
          <w:tcPr>
            <w:tcW w:w="1005" w:type="dxa"/>
            <w:vMerge/>
          </w:tcPr>
          <w:p w14:paraId="606BC68F" w:rsidR="00384183" w:rsidRPr="00384183" w:rsidRDefault="00384183" w:rsidP="00F24243">
            <w:pPr>
              <w:rPr>
                <w:rFonts w:ascii="Times New Roman" w:hAnsi="Times New Roman" w:cs="Times New Roman"/>
                <w:sz w:val="20"/>
                <w:szCs w:val="20"/>
              </w:rPr>
            </w:pPr>
          </w:p>
        </w:tc>
        <w:tc>
          <w:tcPr>
            <w:tcW w:w="1893" w:type="dxa"/>
          </w:tcPr>
          <w:p w14:paraId="296008A4"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Levera </w:t>
            </w:r>
          </w:p>
        </w:tc>
        <w:tc>
          <w:tcPr>
            <w:tcW w:w="3852" w:type="dxa"/>
          </w:tcPr>
          <w:p w14:paraId="33E64956"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To be legally established and managed by late 2013</w:t>
            </w:r>
          </w:p>
        </w:tc>
        <w:tc>
          <w:tcPr>
            <w:tcW w:w="1005" w:type="dxa"/>
          </w:tcPr>
          <w:p w14:paraId="4D24AE5A"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Grenada</w:t>
            </w:r>
          </w:p>
        </w:tc>
        <w:tc>
          <w:tcPr>
            <w:tcW w:w="1149" w:type="dxa"/>
          </w:tcPr>
          <w:p w14:paraId="00EF6A2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50</w:t>
            </w:r>
          </w:p>
        </w:tc>
        <w:tc>
          <w:tcPr>
            <w:tcW w:w="885" w:type="dxa"/>
          </w:tcPr>
          <w:p w14:paraId="5F92A0B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750</w:t>
            </w:r>
          </w:p>
        </w:tc>
        <w:tc>
          <w:tcPr>
            <w:tcW w:w="1005" w:type="dxa"/>
          </w:tcPr>
          <w:p w14:paraId="49042FE9"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800</w:t>
            </w:r>
          </w:p>
        </w:tc>
      </w:tr>
      <w:tr w14:paraId="2F43E383" w:rsidR="00384183" w:rsidRPr="00384183" w:rsidTr="00EA0BDC">
        <w:trPr>
          <w:trHeight w:val="52"/>
        </w:trPr>
        <w:tc>
          <w:tcPr>
            <w:tcW w:w="1005" w:type="dxa"/>
            <w:vMerge/>
          </w:tcPr>
          <w:p w14:paraId="51759A2F" w:rsidR="00384183" w:rsidRPr="00384183" w:rsidRDefault="00384183" w:rsidP="00F24243">
            <w:pPr>
              <w:rPr>
                <w:rFonts w:ascii="Times New Roman" w:hAnsi="Times New Roman" w:cs="Times New Roman"/>
                <w:sz w:val="20"/>
                <w:szCs w:val="20"/>
              </w:rPr>
            </w:pPr>
          </w:p>
        </w:tc>
        <w:tc>
          <w:tcPr>
            <w:tcW w:w="1893" w:type="dxa"/>
          </w:tcPr>
          <w:p w14:paraId="0D8963F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 xml:space="preserve">White Island </w:t>
            </w:r>
          </w:p>
        </w:tc>
        <w:tc>
          <w:tcPr>
            <w:tcW w:w="3852" w:type="dxa"/>
          </w:tcPr>
          <w:p w14:paraId="68BE427D"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To be legally established and managed by late 2013</w:t>
            </w:r>
          </w:p>
        </w:tc>
        <w:tc>
          <w:tcPr>
            <w:tcW w:w="1005" w:type="dxa"/>
          </w:tcPr>
          <w:p w14:paraId="62D159B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Carriacou</w:t>
            </w:r>
          </w:p>
        </w:tc>
        <w:tc>
          <w:tcPr>
            <w:tcW w:w="1149" w:type="dxa"/>
          </w:tcPr>
          <w:p w14:paraId="4BF5AD17"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100</w:t>
            </w:r>
          </w:p>
        </w:tc>
        <w:tc>
          <w:tcPr>
            <w:tcW w:w="885" w:type="dxa"/>
          </w:tcPr>
          <w:p w14:paraId="4C6C6A30"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2,000</w:t>
            </w:r>
          </w:p>
        </w:tc>
        <w:tc>
          <w:tcPr>
            <w:tcW w:w="1005" w:type="dxa"/>
          </w:tcPr>
          <w:p w14:paraId="6071831E" w:rsidR="00384183" w:rsidRPr="00384183" w:rsidRDefault="00384183" w:rsidP="00F24243">
            <w:pPr>
              <w:rPr>
                <w:rFonts w:ascii="Times New Roman" w:hAnsi="Times New Roman" w:cs="Times New Roman"/>
                <w:sz w:val="20"/>
                <w:szCs w:val="20"/>
              </w:rPr>
            </w:pPr>
            <w:r w:rsidRPr="00384183">
              <w:rPr>
                <w:rFonts w:ascii="Times New Roman" w:hAnsi="Times New Roman" w:cs="Times New Roman"/>
                <w:sz w:val="20"/>
                <w:szCs w:val="20"/>
              </w:rPr>
              <w:t>2,100</w:t>
            </w:r>
          </w:p>
        </w:tc>
      </w:tr>
      <w:tr w14:paraId="7D478B74" w:rsidR="00384183" w:rsidRPr="00384183" w:rsidTr="00EA0BDC">
        <w:tc>
          <w:tcPr>
            <w:tcW w:w="7755" w:type="dxa"/>
            <w:gridSpan w:val="4"/>
          </w:tcPr>
          <w:p w14:paraId="6CE43B71" w:rsidR="00384183" w:rsidRPr="00384183" w:rsidRDefault="00384183" w:rsidP="00EA0BDC">
            <w:pPr>
              <w:jc w:val="right"/>
              <w:rPr>
                <w:rFonts w:ascii="Times New Roman" w:hAnsi="Times New Roman" w:cs="Times New Roman"/>
                <w:sz w:val="20"/>
                <w:szCs w:val="20"/>
              </w:rPr>
            </w:pPr>
            <w:r w:rsidRPr="00384183">
              <w:rPr>
                <w:rFonts w:ascii="Times New Roman" w:hAnsi="Times New Roman" w:cs="Times New Roman"/>
                <w:b/>
                <w:sz w:val="20"/>
                <w:szCs w:val="20"/>
              </w:rPr>
              <w:t>Total – Marine PAs</w:t>
            </w:r>
          </w:p>
        </w:tc>
        <w:tc>
          <w:tcPr>
            <w:tcW w:w="1149" w:type="dxa"/>
          </w:tcPr>
          <w:p w14:paraId="736D5EFF"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250</w:t>
            </w:r>
          </w:p>
        </w:tc>
        <w:tc>
          <w:tcPr>
            <w:tcW w:w="885" w:type="dxa"/>
          </w:tcPr>
          <w:p w14:paraId="70721581"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12,930</w:t>
            </w:r>
          </w:p>
        </w:tc>
        <w:tc>
          <w:tcPr>
            <w:tcW w:w="1005" w:type="dxa"/>
          </w:tcPr>
          <w:p w14:paraId="73202C3A" w:rsidR="00384183" w:rsidRPr="00384183" w:rsidRDefault="00384183" w:rsidP="00F24243">
            <w:pPr>
              <w:rPr>
                <w:rFonts w:ascii="Times New Roman" w:hAnsi="Times New Roman" w:cs="Times New Roman"/>
                <w:b/>
                <w:sz w:val="20"/>
                <w:szCs w:val="20"/>
              </w:rPr>
            </w:pPr>
            <w:r w:rsidRPr="00384183">
              <w:rPr>
                <w:rFonts w:ascii="Times New Roman" w:hAnsi="Times New Roman" w:cs="Times New Roman"/>
                <w:b/>
                <w:sz w:val="20"/>
                <w:szCs w:val="20"/>
              </w:rPr>
              <w:t>13,180</w:t>
            </w:r>
          </w:p>
        </w:tc>
      </w:tr>
    </w:tbl>
    <w:p w14:paraId="1FCFEBFC" w:rsidR="00384183" w:rsidRPr="00384183" w:rsidRDefault="00384183" w:rsidP="00384183">
      <w:pPr>
        <w:rPr>
          <w:rFonts w:ascii="Times New Roman" w:hAnsi="Times New Roman" w:cs="Times New Roman"/>
        </w:rPr>
      </w:pPr>
      <w:r w:rsidRPr="00384183">
        <w:rPr>
          <w:rFonts w:ascii="Times New Roman" w:hAnsi="Times New Roman" w:cs="Times New Roman"/>
        </w:rPr>
        <w:t>*Extent of marine areas in hectares is approximate</w:t>
      </w:r>
    </w:p>
    <w:p w14:paraId="54F1F8DC" w:rsidR="00C50D42" w:rsidRPr="00DC4545" w:rsidRDefault="00C50D4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Currently</w:t>
      </w:r>
      <w:r>
        <w:rPr>
          <w:rFonts w:ascii="Times New Roman" w:hAnsi="Times New Roman" w:cs="Times New Roman"/>
        </w:rPr>
        <w:t>,</w:t>
      </w:r>
      <w:r w:rsidRPr="00DC4545">
        <w:rPr>
          <w:rFonts w:ascii="Times New Roman" w:hAnsi="Times New Roman" w:cs="Times New Roman"/>
        </w:rPr>
        <w:t xml:space="preserve"> protection exists for only a few forest areas in Grenada, and not all forest types are represented in these areas. Grand Etang Forest Reserve has an area of 1526 ha. of cloud forest, rain forest and lower montane rain forest</w:t>
      </w:r>
      <w:r>
        <w:rPr>
          <w:rFonts w:ascii="Times New Roman" w:hAnsi="Times New Roman" w:cs="Times New Roman"/>
        </w:rPr>
        <w:t>,</w:t>
      </w:r>
      <w:r w:rsidRPr="00DC4545">
        <w:rPr>
          <w:rFonts w:ascii="Times New Roman" w:hAnsi="Times New Roman" w:cs="Times New Roman"/>
        </w:rPr>
        <w:t xml:space="preserve"> and plantations which are fully protected by the legislation from any change in land use and from hunting. There are National Parks at Levera (123 ha.) in the north east of the island, primarily mangrove, and at Mt. Hartman in the south west and Perseverance Estate on the west coast which is dry forest. In Carriacou, 136 ha.</w:t>
      </w:r>
      <w:r w:rsidR="000664C3">
        <w:rPr>
          <w:rFonts w:ascii="Times New Roman" w:hAnsi="Times New Roman" w:cs="Times New Roman"/>
        </w:rPr>
        <w:t xml:space="preserve"> of</w:t>
      </w:r>
      <w:r>
        <w:rPr>
          <w:rFonts w:ascii="Times New Roman" w:hAnsi="Times New Roman" w:cs="Times New Roman"/>
        </w:rPr>
        <w:t xml:space="preserve"> </w:t>
      </w:r>
      <w:r w:rsidRPr="00DC4545">
        <w:rPr>
          <w:rFonts w:ascii="Times New Roman" w:hAnsi="Times New Roman" w:cs="Times New Roman"/>
        </w:rPr>
        <w:t xml:space="preserve">forested area </w:t>
      </w:r>
      <w:r w:rsidR="000664C3">
        <w:rPr>
          <w:rFonts w:ascii="Times New Roman" w:hAnsi="Times New Roman" w:cs="Times New Roman"/>
        </w:rPr>
        <w:t>are</w:t>
      </w:r>
      <w:r w:rsidRPr="00DC4545">
        <w:rPr>
          <w:rFonts w:ascii="Times New Roman" w:hAnsi="Times New Roman" w:cs="Times New Roman"/>
        </w:rPr>
        <w:t xml:space="preserve"> protected at High North. Work is currently in progress by the Forestry Department and the Forest Management Project surveying area to create three more Forest Reserves at Morne Gazo, Anna</w:t>
      </w:r>
      <w:r>
        <w:rPr>
          <w:rFonts w:ascii="Times New Roman" w:hAnsi="Times New Roman" w:cs="Times New Roman"/>
        </w:rPr>
        <w:t>n</w:t>
      </w:r>
      <w:r w:rsidRPr="00DC4545">
        <w:rPr>
          <w:rFonts w:ascii="Times New Roman" w:hAnsi="Times New Roman" w:cs="Times New Roman"/>
        </w:rPr>
        <w:t xml:space="preserve">dale and Mt. St. Catherine. This will result in approximately one third of the island’s forest being protected. </w:t>
      </w:r>
      <w:r>
        <w:rPr>
          <w:rFonts w:ascii="Times New Roman" w:hAnsi="Times New Roman" w:cs="Times New Roman"/>
        </w:rPr>
        <w:t xml:space="preserve"> </w:t>
      </w:r>
      <w:r w:rsidR="00142B90">
        <w:rPr>
          <w:rFonts w:ascii="Times New Roman" w:hAnsi="Times New Roman" w:cs="Times New Roman"/>
        </w:rPr>
        <w:t>Ultimately, an effective Protected Areas System should include the conservation targets illustrated in Figure 2, below.</w:t>
      </w:r>
    </w:p>
    <w:p w14:paraId="507E50C5" w:rsidR="00C50D42" w:rsidRPr="00DC4545" w:rsidRDefault="00C50D42" w:rsidP="00C50D42">
      <w:pPr>
        <w:spacing w:line="264" w:lineRule="auto"/>
        <w:rPr>
          <w:rFonts w:ascii="Times New Roman" w:hAnsi="Times New Roman" w:cs="Times New Roman"/>
        </w:rPr>
        <w:sectPr w:rsidR="00C50D42" w:rsidRPr="00DC4545" w:rsidSect="006D1BDE">
          <w:footerReference w:type="default" r:id="rId12"/>
          <w:type w:val="continuous"/>
          <w:pgSz w:w="12240" w:h="15840" w:code="1"/>
          <w:pgMar w:top="1440" w:right="1440" w:bottom="1440" w:left="1440" w:header="720" w:footer="720" w:gutter="0"/>
          <w:cols w:space="720"/>
          <w:docGrid w:linePitch="360"/>
        </w:sectPr>
      </w:pPr>
    </w:p>
    <w:p w14:paraId="487D9E67" w:rsidR="00C50D42" w:rsidRPr="00DC4545" w:rsidRDefault="00C50D42" w:rsidP="00C50D42">
      <w:pPr>
        <w:jc w:val="center"/>
        <w:rPr>
          <w:rFonts w:ascii="Times New Roman" w:hAnsi="Times New Roman" w:cs="Times New Roman"/>
          <w:b/>
        </w:rPr>
      </w:pPr>
      <w:r w:rsidRPr="00DC4545">
        <w:rPr>
          <w:rFonts w:ascii="Times New Roman" w:hAnsi="Times New Roman" w:cs="Times New Roman"/>
          <w:b/>
          <w:noProof/>
        </w:rPr>
        <w:drawing>
          <wp:anchor distT="0" distB="0" distL="114300" distR="114300" simplePos="0" relativeHeight="251679744" behindDoc="0" locked="0" layoutInCell="1" allowOverlap="1" wp14:anchorId="1E80C8B5" wp14:editId="4DA07BAE">
            <wp:simplePos x="0" y="0"/>
            <wp:positionH relativeFrom="column">
              <wp:posOffset>322580</wp:posOffset>
            </wp:positionH>
            <wp:positionV relativeFrom="paragraph">
              <wp:posOffset>238125</wp:posOffset>
            </wp:positionV>
            <wp:extent cx="4962525" cy="6429375"/>
            <wp:effectExtent l="0" t="0" r="9525" b="9525"/>
            <wp:wrapTight wrapText="bothSides">
              <wp:wrapPolygon edited="0">
                <wp:start x="0" y="0"/>
                <wp:lineTo x="0" y="21568"/>
                <wp:lineTo x="21559" y="21568"/>
                <wp:lineTo x="21559" y="0"/>
                <wp:lineTo x="0" y="0"/>
              </wp:wrapPolygon>
            </wp:wrapTight>
            <wp:docPr id="2" name="Picture 2" descr="GRE_GAP_20May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_GAP_20May09[1]"/>
                    <pic:cNvPicPr>
                      <a:picLocks noChangeAspect="1" noChangeArrowheads="1"/>
                    </pic:cNvPicPr>
                  </pic:nvPicPr>
                  <pic:blipFill>
                    <a:blip r:embed="rId13" cstate="print"/>
                    <a:srcRect/>
                    <a:stretch>
                      <a:fillRect/>
                    </a:stretch>
                  </pic:blipFill>
                  <pic:spPr bwMode="auto">
                    <a:xfrm>
                      <a:off x="0" y="0"/>
                      <a:ext cx="4962525" cy="6429375"/>
                    </a:xfrm>
                    <a:prstGeom prst="rect">
                      <a:avLst/>
                    </a:prstGeom>
                    <a:noFill/>
                    <a:ln w="9525">
                      <a:noFill/>
                      <a:miter lim="800000"/>
                      <a:headEnd/>
                      <a:tailEnd/>
                    </a:ln>
                  </pic:spPr>
                </pic:pic>
              </a:graphicData>
            </a:graphic>
          </wp:anchor>
        </w:drawing>
      </w:r>
      <w:r w:rsidRPr="00DC4545">
        <w:rPr>
          <w:rFonts w:ascii="Times New Roman" w:hAnsi="Times New Roman" w:cs="Times New Roman"/>
          <w:b/>
        </w:rPr>
        <w:t>Figure 2</w:t>
      </w:r>
      <w:r>
        <w:rPr>
          <w:rFonts w:ascii="Times New Roman" w:hAnsi="Times New Roman" w:cs="Times New Roman"/>
          <w:b/>
        </w:rPr>
        <w:t>:</w:t>
      </w:r>
      <w:r w:rsidRPr="00946A10">
        <w:t xml:space="preserve"> </w:t>
      </w:r>
      <w:r>
        <w:t xml:space="preserve"> </w:t>
      </w:r>
      <w:r w:rsidRPr="00946A10">
        <w:rPr>
          <w:rFonts w:ascii="Times New Roman" w:hAnsi="Times New Roman" w:cs="Times New Roman"/>
          <w:b/>
        </w:rPr>
        <w:t>Protected Area Gap Analysis Conservation Targets</w:t>
      </w:r>
    </w:p>
    <w:p w14:paraId="68615722" w:rsidR="00C50D42" w:rsidRPr="00DC4545" w:rsidRDefault="00C50D42" w:rsidP="00C50D42">
      <w:pPr>
        <w:rPr>
          <w:rFonts w:ascii="Times New Roman" w:hAnsi="Times New Roman" w:cs="Times New Roman"/>
        </w:rPr>
      </w:pPr>
    </w:p>
    <w:p w14:paraId="62895A9B" w:rsidR="00C50D42" w:rsidRPr="00DC4545" w:rsidRDefault="00C50D42" w:rsidP="00C50D42">
      <w:pPr>
        <w:rPr>
          <w:rFonts w:ascii="Times New Roman" w:hAnsi="Times New Roman" w:cs="Times New Roman"/>
        </w:rPr>
      </w:pPr>
    </w:p>
    <w:p w14:paraId="5B2E9490" w:rsidR="00C50D42" w:rsidRPr="00DC4545" w:rsidRDefault="00C50D42" w:rsidP="00C50D42">
      <w:pPr>
        <w:rPr>
          <w:rFonts w:ascii="Times New Roman" w:hAnsi="Times New Roman" w:cs="Times New Roman"/>
        </w:rPr>
      </w:pPr>
    </w:p>
    <w:p w14:paraId="16303F5C" w:rsidR="00C50D42" w:rsidRPr="00DC4545" w:rsidRDefault="00C50D42" w:rsidP="00C50D42">
      <w:pPr>
        <w:rPr>
          <w:rFonts w:ascii="Times New Roman" w:hAnsi="Times New Roman" w:cs="Times New Roman"/>
        </w:rPr>
      </w:pPr>
    </w:p>
    <w:p w14:paraId="5342F63E" w:rsidR="00C50D42" w:rsidRPr="00DC4545" w:rsidRDefault="00C50D42" w:rsidP="00C50D42">
      <w:pPr>
        <w:rPr>
          <w:rFonts w:ascii="Times New Roman" w:hAnsi="Times New Roman" w:cs="Times New Roman"/>
        </w:rPr>
      </w:pPr>
    </w:p>
    <w:p w14:paraId="7E26AA55" w:rsidR="00C50D42" w:rsidRPr="00DC4545" w:rsidRDefault="00C50D42" w:rsidP="00C50D42">
      <w:pPr>
        <w:rPr>
          <w:rFonts w:ascii="Times New Roman" w:hAnsi="Times New Roman" w:cs="Times New Roman"/>
        </w:rPr>
      </w:pPr>
    </w:p>
    <w:p w14:paraId="371B4E1A" w:rsidR="00C50D42" w:rsidRPr="00DC4545" w:rsidRDefault="00C50D42" w:rsidP="00C50D42">
      <w:pPr>
        <w:rPr>
          <w:rFonts w:ascii="Times New Roman" w:hAnsi="Times New Roman" w:cs="Times New Roman"/>
        </w:rPr>
      </w:pPr>
    </w:p>
    <w:p w14:paraId="05A0471F" w:rsidR="00C50D42" w:rsidRPr="00DC4545" w:rsidRDefault="00C50D42" w:rsidP="00C50D42">
      <w:pPr>
        <w:rPr>
          <w:rFonts w:ascii="Times New Roman" w:hAnsi="Times New Roman" w:cs="Times New Roman"/>
        </w:rPr>
      </w:pPr>
    </w:p>
    <w:p w14:paraId="0FC72957" w:rsidR="00C50D42" w:rsidRPr="00DC4545" w:rsidRDefault="00C50D42" w:rsidP="00C50D42">
      <w:pPr>
        <w:rPr>
          <w:rFonts w:ascii="Times New Roman" w:hAnsi="Times New Roman" w:cs="Times New Roman"/>
        </w:rPr>
      </w:pPr>
    </w:p>
    <w:p w14:paraId="3EF395E8" w:rsidR="00C50D42" w:rsidRPr="00DC4545" w:rsidRDefault="00C50D42" w:rsidP="00C50D42">
      <w:pPr>
        <w:rPr>
          <w:rFonts w:ascii="Times New Roman" w:hAnsi="Times New Roman" w:cs="Times New Roman"/>
        </w:rPr>
      </w:pPr>
    </w:p>
    <w:p w14:paraId="093775F2" w:rsidR="00C50D42" w:rsidRPr="00DC4545" w:rsidRDefault="00C50D42" w:rsidP="00C50D42">
      <w:pPr>
        <w:rPr>
          <w:rFonts w:ascii="Times New Roman" w:hAnsi="Times New Roman" w:cs="Times New Roman"/>
        </w:rPr>
      </w:pPr>
    </w:p>
    <w:p w14:paraId="429FA911" w:rsidR="00C50D42" w:rsidRPr="00DC4545" w:rsidRDefault="00C50D42" w:rsidP="00C50D42">
      <w:pPr>
        <w:rPr>
          <w:rFonts w:ascii="Times New Roman" w:hAnsi="Times New Roman" w:cs="Times New Roman"/>
        </w:rPr>
      </w:pPr>
    </w:p>
    <w:p w14:paraId="6E44FD5D" w:rsidR="00C50D42" w:rsidRPr="00DC4545" w:rsidRDefault="00C50D42" w:rsidP="00C50D42">
      <w:pPr>
        <w:rPr>
          <w:rFonts w:ascii="Times New Roman" w:hAnsi="Times New Roman" w:cs="Times New Roman"/>
        </w:rPr>
      </w:pPr>
    </w:p>
    <w:p w14:paraId="5712BBBC" w:rsidR="00C50D42" w:rsidRPr="00DC4545" w:rsidRDefault="00C50D42" w:rsidP="00C50D42">
      <w:pPr>
        <w:rPr>
          <w:rFonts w:ascii="Times New Roman" w:hAnsi="Times New Roman" w:cs="Times New Roman"/>
        </w:rPr>
      </w:pPr>
    </w:p>
    <w:p w14:paraId="0DD6426B" w:rsidR="00C50D42" w:rsidRPr="00DC4545" w:rsidRDefault="00C50D42" w:rsidP="00C50D42">
      <w:pPr>
        <w:rPr>
          <w:rFonts w:ascii="Times New Roman" w:hAnsi="Times New Roman" w:cs="Times New Roman"/>
        </w:rPr>
      </w:pPr>
    </w:p>
    <w:p w14:paraId="737CA325" w:rsidR="00C50D42" w:rsidRPr="00DC4545" w:rsidRDefault="00C50D42" w:rsidP="00C50D42">
      <w:pPr>
        <w:rPr>
          <w:rFonts w:ascii="Times New Roman" w:hAnsi="Times New Roman" w:cs="Times New Roman"/>
        </w:rPr>
      </w:pPr>
    </w:p>
    <w:p w14:paraId="06757442" w:rsidR="00C50D42" w:rsidRPr="00DC4545" w:rsidRDefault="00C50D42" w:rsidP="00C50D42">
      <w:pPr>
        <w:rPr>
          <w:rFonts w:ascii="Times New Roman" w:hAnsi="Times New Roman" w:cs="Times New Roman"/>
        </w:rPr>
      </w:pPr>
    </w:p>
    <w:p w14:paraId="014C38FD" w:rsidR="00C50D42" w:rsidRPr="00DC4545" w:rsidRDefault="00C50D42" w:rsidP="00C50D42">
      <w:pPr>
        <w:rPr>
          <w:rFonts w:ascii="Times New Roman" w:hAnsi="Times New Roman" w:cs="Times New Roman"/>
        </w:rPr>
      </w:pPr>
    </w:p>
    <w:p w14:paraId="204C9E93" w:rsidR="00C50D42" w:rsidRPr="00DC4545" w:rsidRDefault="00C50D42" w:rsidP="00C50D42">
      <w:pPr>
        <w:rPr>
          <w:rFonts w:ascii="Times New Roman" w:hAnsi="Times New Roman" w:cs="Times New Roman"/>
        </w:rPr>
      </w:pPr>
    </w:p>
    <w:p w14:paraId="29E242C4" w:rsidR="00A9248D" w:rsidRDefault="00A9248D" w:rsidP="009C3E04">
      <w:pPr>
        <w:pStyle w:val="Heading3"/>
      </w:pPr>
    </w:p>
    <w:p w14:paraId="0762A62C" w:rsidR="00A9248D" w:rsidRDefault="00A9248D" w:rsidP="009C3E04">
      <w:pPr>
        <w:pStyle w:val="Heading3"/>
      </w:pPr>
    </w:p>
    <w:p w14:paraId="527BEAA8" w:rsidR="00133632" w:rsidRPr="00A9248D" w:rsidRDefault="00A9248D" w:rsidP="00A9248D">
      <w:pPr>
        <w:pStyle w:val="Heading3"/>
      </w:pPr>
      <w:bookmarkStart w:id="8" w:name="_Toc389820952"/>
      <w:r w:rsidRPr="00A9248D">
        <w:t xml:space="preserve">1.A.4 </w:t>
      </w:r>
      <w:r w:rsidR="00133632" w:rsidRPr="00A9248D">
        <w:t>Socioeconomic Context</w:t>
      </w:r>
      <w:bookmarkEnd w:id="8"/>
    </w:p>
    <w:p w14:paraId="631B3542" w:rsidR="001E7276" w:rsidRPr="001E7276" w:rsidRDefault="001E727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1E7276">
        <w:rPr>
          <w:rFonts w:ascii="Times New Roman" w:hAnsi="Times New Roman" w:cs="Times New Roman"/>
        </w:rPr>
        <w:t xml:space="preserve">Grenada has a population of approximately 109,000 persons (Yr. 2010 census) and according to the UNDP is ranked 63rd out of countries on the Human Development Index (HDI). According to a survey held in 2008 and regarding poverty rates, 37.7% of individuals were under the poverty income level; likely a result of a large proportion of persons being involved in the informal economy. Within the period of 50 or more years ago when the economy of Grenada was predominantly agricultural, the population was characteristically rural. Since then, however, Tourism, Construction and Services have gradually come to be the main contributors to economic activity and livelihoods, and as a result most of the population is now distributed as virtual townships of the historical towns of St. George (Capital), Grenville, Gouyave, Sauteurs and Victoria. A distinct rural to urban drift makes South St. George the most populated and most built up area in Grenada. A round-the-island road network and a historically rural population have allowed for a fairly equitable spread of schools and health facilities on the islands. </w:t>
      </w:r>
    </w:p>
    <w:p w14:paraId="4A49D700" w:rsidR="00133632" w:rsidRPr="00CC5C3C"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According to records from the Central Statistics of the Government of Grenada 2001, the population of Grenada was distributed by parish as follows: St. George (30.6%), St. Andrew (26.3%); St. Patrick (11.2%), St. David (12.3%), St. John (9.1%), St. Mark (4.5%) and Carriacou and Petite Martinique (6.0%). It was later estimated in 2010 that the population would have risen by about 5% overall. Due to rural to urban </w:t>
      </w:r>
      <w:r w:rsidR="009E2A7A">
        <w:rPr>
          <w:rFonts w:ascii="Times New Roman" w:hAnsi="Times New Roman" w:cs="Times New Roman"/>
        </w:rPr>
        <w:t>migration</w:t>
      </w:r>
      <w:r w:rsidRPr="00DC4545">
        <w:rPr>
          <w:rFonts w:ascii="Times New Roman" w:hAnsi="Times New Roman" w:cs="Times New Roman"/>
        </w:rPr>
        <w:t xml:space="preserve">, </w:t>
      </w:r>
      <w:r w:rsidR="009E2A7A">
        <w:rPr>
          <w:rFonts w:ascii="Times New Roman" w:hAnsi="Times New Roman" w:cs="Times New Roman"/>
        </w:rPr>
        <w:t xml:space="preserve">it is estimated that </w:t>
      </w:r>
      <w:r w:rsidRPr="00DC4545">
        <w:rPr>
          <w:rFonts w:ascii="Times New Roman" w:hAnsi="Times New Roman" w:cs="Times New Roman"/>
        </w:rPr>
        <w:t xml:space="preserve">the St. George population </w:t>
      </w:r>
      <w:r w:rsidR="009E2A7A">
        <w:rPr>
          <w:rFonts w:ascii="Times New Roman" w:hAnsi="Times New Roman" w:cs="Times New Roman"/>
        </w:rPr>
        <w:t>has</w:t>
      </w:r>
      <w:r w:rsidRPr="00DC4545">
        <w:rPr>
          <w:rFonts w:ascii="Times New Roman" w:hAnsi="Times New Roman" w:cs="Times New Roman"/>
        </w:rPr>
        <w:t xml:space="preserve"> increased significantly at the expense of the other parishes. The most economically active parish in Grenada is therefore St. George where the post-agricultural economic activity is notable and where the Tourism and Services infrastructure is mostly concentrated. </w:t>
      </w:r>
      <w:r w:rsidR="009E2A7A">
        <w:rPr>
          <w:rFonts w:ascii="Times New Roman" w:hAnsi="Times New Roman" w:cs="Times New Roman"/>
        </w:rPr>
        <w:t>This</w:t>
      </w:r>
      <w:r w:rsidRPr="00DC4545">
        <w:rPr>
          <w:rFonts w:ascii="Times New Roman" w:hAnsi="Times New Roman" w:cs="Times New Roman"/>
        </w:rPr>
        <w:t xml:space="preserve"> is the parish where the highest proportion of the population lives and works at livelihoods associated with job opportunity. St. George is also the parish where many persons from the other parishes work and then commute back to th</w:t>
      </w:r>
      <w:r w:rsidR="009E2A7A">
        <w:rPr>
          <w:rFonts w:ascii="Times New Roman" w:hAnsi="Times New Roman" w:cs="Times New Roman"/>
        </w:rPr>
        <w:t>eir residences on a daily basis</w:t>
      </w:r>
      <w:r w:rsidRPr="00DC4545">
        <w:rPr>
          <w:rFonts w:ascii="Times New Roman" w:hAnsi="Times New Roman" w:cs="Times New Roman"/>
        </w:rPr>
        <w:t>.</w:t>
      </w:r>
    </w:p>
    <w:p w14:paraId="78EDF6FA" w:rsidR="00DF1CD8"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A significant segment of the population depends on subsistence incomes and the informal economy. In 2005</w:t>
      </w:r>
      <w:r w:rsidR="009E2A7A">
        <w:rPr>
          <w:rFonts w:ascii="Times New Roman" w:hAnsi="Times New Roman" w:cs="Times New Roman"/>
        </w:rPr>
        <w:t>,</w:t>
      </w:r>
      <w:r w:rsidRPr="00DC4545">
        <w:rPr>
          <w:rFonts w:ascii="Times New Roman" w:hAnsi="Times New Roman" w:cs="Times New Roman"/>
        </w:rPr>
        <w:t xml:space="preserve"> a household survey </w:t>
      </w:r>
      <w:r w:rsidR="009E2A7A">
        <w:rPr>
          <w:rFonts w:ascii="Times New Roman" w:hAnsi="Times New Roman" w:cs="Times New Roman"/>
        </w:rPr>
        <w:t xml:space="preserve">estimated </w:t>
      </w:r>
      <w:r w:rsidRPr="00DC4545">
        <w:rPr>
          <w:rFonts w:ascii="Times New Roman" w:hAnsi="Times New Roman" w:cs="Times New Roman"/>
        </w:rPr>
        <w:t xml:space="preserve">that the formal unemployment rate for females was 26.4%, the male rate 12.4%, the youth rate 32.9% and the overall rate 18.8% in 2008. A poverty assessment report revealed a poverty rate of 37.7% while the vulnerability rate was measured at 14.6%. The National Census of 2010 showed that the population had 53,008 (50.2%) males and 52,531 (49.8%) females. A high unemployment rate is associated with a high dependence, especially in the rural areas, on subsistence income and from traditional agriculture-associated livelihoods based on the terrestrial eco-assets from private or public lands on the one hand and from the marine (fisheries) eco-assets from the sea as Common Property, on the other hand. This high dependence of persons on subsistence livelihoods and informal economic activities coupled with a historical “open-access/free-entry” use of the natural terrestrial and marine resources is a significant challenge for programmatic management and conservation of </w:t>
      </w:r>
      <w:r w:rsidR="009E2A7A">
        <w:rPr>
          <w:rFonts w:ascii="Times New Roman" w:hAnsi="Times New Roman" w:cs="Times New Roman"/>
        </w:rPr>
        <w:t>BD</w:t>
      </w:r>
      <w:r w:rsidRPr="00DC4545">
        <w:rPr>
          <w:rFonts w:ascii="Times New Roman" w:hAnsi="Times New Roman" w:cs="Times New Roman"/>
        </w:rPr>
        <w:t xml:space="preserve"> and ecosystems functions. </w:t>
      </w:r>
    </w:p>
    <w:p w14:paraId="5EB31E15" w:rsidR="007C359E" w:rsidRPr="007C359E"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Socio-econom</w:t>
      </w:r>
      <w:r w:rsidR="009E2A7A">
        <w:rPr>
          <w:rFonts w:ascii="Times New Roman" w:hAnsi="Times New Roman" w:cs="Times New Roman"/>
        </w:rPr>
        <w:t>ic</w:t>
      </w:r>
      <w:r w:rsidRPr="00DC4545">
        <w:rPr>
          <w:rFonts w:ascii="Times New Roman" w:hAnsi="Times New Roman" w:cs="Times New Roman"/>
        </w:rPr>
        <w:t>-based threats to the BD and ecosystem functions are clearly identified as directly and significantly traceable to humans as they attempt to</w:t>
      </w:r>
      <w:r w:rsidR="00C40F49">
        <w:rPr>
          <w:rFonts w:ascii="Times New Roman" w:hAnsi="Times New Roman" w:cs="Times New Roman"/>
        </w:rPr>
        <w:t xml:space="preserve"> satisfy livelihood needs. Such</w:t>
      </w:r>
      <w:r w:rsidRPr="00DC4545">
        <w:rPr>
          <w:rFonts w:ascii="Times New Roman" w:hAnsi="Times New Roman" w:cs="Times New Roman"/>
        </w:rPr>
        <w:t xml:space="preserve"> threats include habitat destruction and fragmentation with respect to land and sea-use, degradation of land, water resources and ecosystems services</w:t>
      </w:r>
      <w:r w:rsidR="009E2A7A">
        <w:rPr>
          <w:rFonts w:ascii="Times New Roman" w:hAnsi="Times New Roman" w:cs="Times New Roman"/>
        </w:rPr>
        <w:t>,</w:t>
      </w:r>
      <w:r w:rsidRPr="00DC4545">
        <w:rPr>
          <w:rFonts w:ascii="Times New Roman" w:hAnsi="Times New Roman" w:cs="Times New Roman"/>
        </w:rPr>
        <w:t xml:space="preserve"> and the over</w:t>
      </w:r>
      <w:r w:rsidR="00C40F49">
        <w:rPr>
          <w:rFonts w:ascii="Times New Roman" w:hAnsi="Times New Roman" w:cs="Times New Roman"/>
        </w:rPr>
        <w:t>-</w:t>
      </w:r>
      <w:r w:rsidRPr="00DC4545">
        <w:rPr>
          <w:rFonts w:ascii="Times New Roman" w:hAnsi="Times New Roman" w:cs="Times New Roman"/>
        </w:rPr>
        <w:t xml:space="preserve">exploitation of biological resources, especially in the marine close-to-shore environments. </w:t>
      </w:r>
      <w:r w:rsidR="007C359E">
        <w:rPr>
          <w:rFonts w:ascii="Times New Roman" w:hAnsi="Times New Roman" w:cs="Times New Roman"/>
        </w:rPr>
        <w:t>For example, t</w:t>
      </w:r>
      <w:r w:rsidR="007C359E" w:rsidRPr="007C359E">
        <w:rPr>
          <w:rFonts w:ascii="Times New Roman" w:hAnsi="Times New Roman" w:cs="Times New Roman"/>
        </w:rPr>
        <w:t>he utilization of forest resources is important as a result of the imperatives of subsistence livelihoods. Timber production from natural forests has declined considerably over the past decade due to poor re-stocking depleted by more than 100 years of logging activities, clearance for agriculture and hurricane destruction. Commercial production of Blue mahoe (</w:t>
      </w:r>
      <w:r w:rsidR="007C359E" w:rsidRPr="007C359E">
        <w:rPr>
          <w:rFonts w:ascii="Times New Roman" w:hAnsi="Times New Roman" w:cs="Times New Roman"/>
          <w:i/>
        </w:rPr>
        <w:t>Hibiscuselatus</w:t>
      </w:r>
      <w:r w:rsidR="007C359E" w:rsidRPr="007C359E">
        <w:rPr>
          <w:rFonts w:ascii="Times New Roman" w:hAnsi="Times New Roman" w:cs="Times New Roman"/>
        </w:rPr>
        <w:t xml:space="preserve">) which occupied 75% of the area under plantation was seriously damaged during an infestation of </w:t>
      </w:r>
      <w:r w:rsidR="00001914">
        <w:rPr>
          <w:rFonts w:ascii="Times New Roman" w:hAnsi="Times New Roman" w:cs="Times New Roman"/>
        </w:rPr>
        <w:t>the pink mealy bug between 1994</w:t>
      </w:r>
      <w:r w:rsidR="007C359E" w:rsidRPr="007C359E">
        <w:rPr>
          <w:rFonts w:ascii="Times New Roman" w:hAnsi="Times New Roman" w:cs="Times New Roman"/>
        </w:rPr>
        <w:t>-1997. Other plantation species include pine (</w:t>
      </w:r>
      <w:r w:rsidR="007C359E" w:rsidRPr="007C359E">
        <w:rPr>
          <w:rFonts w:ascii="Times New Roman" w:hAnsi="Times New Roman" w:cs="Times New Roman"/>
          <w:i/>
        </w:rPr>
        <w:t>Pinuscaribaea</w:t>
      </w:r>
      <w:r w:rsidR="007C359E" w:rsidRPr="007C359E">
        <w:rPr>
          <w:rFonts w:ascii="Times New Roman" w:hAnsi="Times New Roman" w:cs="Times New Roman"/>
        </w:rPr>
        <w:t>), mahogany (</w:t>
      </w:r>
      <w:r w:rsidR="007C359E" w:rsidRPr="007C359E">
        <w:rPr>
          <w:rFonts w:ascii="Times New Roman" w:hAnsi="Times New Roman" w:cs="Times New Roman"/>
          <w:i/>
        </w:rPr>
        <w:t>Sweitenia sp</w:t>
      </w:r>
      <w:r w:rsidR="007C359E" w:rsidRPr="007C359E">
        <w:rPr>
          <w:rFonts w:ascii="Times New Roman" w:hAnsi="Times New Roman" w:cs="Times New Roman"/>
        </w:rPr>
        <w:t xml:space="preserve">.) and </w:t>
      </w:r>
      <w:r w:rsidR="007C359E" w:rsidRPr="007C359E">
        <w:rPr>
          <w:rFonts w:ascii="Times New Roman" w:hAnsi="Times New Roman" w:cs="Times New Roman"/>
          <w:i/>
        </w:rPr>
        <w:t>Cupressuslusitanica</w:t>
      </w:r>
      <w:r w:rsidR="007C359E" w:rsidRPr="007C359E">
        <w:rPr>
          <w:rFonts w:ascii="Times New Roman" w:hAnsi="Times New Roman" w:cs="Times New Roman"/>
        </w:rPr>
        <w:t xml:space="preserve">. Although the initial reasons for plantation establishment were to reforest and stabilize forest areas as a result of serious hurricane damage, local demand presented an opportunity for income generation. </w:t>
      </w:r>
    </w:p>
    <w:p w14:paraId="076E1488"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small island context</w:t>
      </w:r>
      <w:r w:rsidR="007C386D">
        <w:rPr>
          <w:rFonts w:ascii="Times New Roman" w:hAnsi="Times New Roman" w:cs="Times New Roman"/>
        </w:rPr>
        <w:t>,</w:t>
      </w:r>
      <w:r w:rsidRPr="00DC4545">
        <w:rPr>
          <w:rFonts w:ascii="Times New Roman" w:hAnsi="Times New Roman" w:cs="Times New Roman"/>
        </w:rPr>
        <w:t xml:space="preserve"> where representations of critical ecosystems are in such close contact with the segments of a population dependent on natural resources for direct livelihoods</w:t>
      </w:r>
      <w:r w:rsidR="003D50E3">
        <w:rPr>
          <w:rFonts w:ascii="Times New Roman" w:hAnsi="Times New Roman" w:cs="Times New Roman"/>
        </w:rPr>
        <w:t>,</w:t>
      </w:r>
      <w:r w:rsidRPr="00DC4545">
        <w:rPr>
          <w:rFonts w:ascii="Times New Roman" w:hAnsi="Times New Roman" w:cs="Times New Roman"/>
        </w:rPr>
        <w:t xml:space="preserve"> and where the use of the BD and ecosystems functions are </w:t>
      </w:r>
      <w:r w:rsidR="007C386D">
        <w:rPr>
          <w:rFonts w:ascii="Times New Roman" w:hAnsi="Times New Roman" w:cs="Times New Roman"/>
        </w:rPr>
        <w:t>constantly in a state of contest</w:t>
      </w:r>
      <w:r w:rsidRPr="00DC4545">
        <w:rPr>
          <w:rFonts w:ascii="Times New Roman" w:hAnsi="Times New Roman" w:cs="Times New Roman"/>
        </w:rPr>
        <w:t xml:space="preserve">, </w:t>
      </w:r>
      <w:r w:rsidR="003D50E3">
        <w:rPr>
          <w:rFonts w:ascii="Times New Roman" w:hAnsi="Times New Roman" w:cs="Times New Roman"/>
        </w:rPr>
        <w:t xml:space="preserve">requires that </w:t>
      </w:r>
      <w:r w:rsidRPr="00DC4545">
        <w:rPr>
          <w:rFonts w:ascii="Times New Roman" w:hAnsi="Times New Roman" w:cs="Times New Roman"/>
        </w:rPr>
        <w:t xml:space="preserve">emphasis be placed on a transition from the “open-access, free-entry” condition to the “controlled- access, controlled-entry” regime, especially with respect to the utilization of stocks, habitat and sea-space in the marine environment. </w:t>
      </w:r>
      <w:r w:rsidR="007C359E">
        <w:rPr>
          <w:rFonts w:ascii="Times New Roman" w:hAnsi="Times New Roman" w:cs="Times New Roman"/>
        </w:rPr>
        <w:t xml:space="preserve">An important start comes from </w:t>
      </w:r>
      <w:r w:rsidR="007C359E" w:rsidRPr="007C359E">
        <w:rPr>
          <w:rFonts w:ascii="Times New Roman" w:hAnsi="Times New Roman" w:cs="Times New Roman"/>
        </w:rPr>
        <w:t xml:space="preserve">the National Forest Policy development process (1999-2000), </w:t>
      </w:r>
      <w:r w:rsidR="007C359E">
        <w:rPr>
          <w:rFonts w:ascii="Times New Roman" w:hAnsi="Times New Roman" w:cs="Times New Roman"/>
        </w:rPr>
        <w:t xml:space="preserve">where </w:t>
      </w:r>
      <w:r w:rsidR="007C359E" w:rsidRPr="007C359E">
        <w:rPr>
          <w:rFonts w:ascii="Times New Roman" w:hAnsi="Times New Roman" w:cs="Times New Roman"/>
        </w:rPr>
        <w:t xml:space="preserve">the general public made it clear that the protection/conservation aspects of forests were more important than timber production. It was recommended that timber production by the Forestry Department should be phased out and that there should be a greater emphasis on the multiple-use aspects of forest management such as conservation and recreation; the use of forest resources for non-consumptive rather than consumptive use. </w:t>
      </w:r>
      <w:r w:rsidR="007C359E" w:rsidRPr="00DC4545">
        <w:rPr>
          <w:rFonts w:ascii="Times New Roman" w:hAnsi="Times New Roman" w:cs="Times New Roman"/>
        </w:rPr>
        <w:t xml:space="preserve">Managing this transition calls for regulatory instruments, with economic incentives where applicable and various </w:t>
      </w:r>
      <w:r w:rsidR="00F24243">
        <w:rPr>
          <w:rFonts w:ascii="Times New Roman" w:hAnsi="Times New Roman" w:cs="Times New Roman"/>
        </w:rPr>
        <w:t xml:space="preserve">innovative </w:t>
      </w:r>
      <w:r w:rsidR="00A85122">
        <w:rPr>
          <w:rFonts w:ascii="Times New Roman" w:hAnsi="Times New Roman" w:cs="Times New Roman"/>
        </w:rPr>
        <w:t>co-management instruments</w:t>
      </w:r>
      <w:r w:rsidR="00F24243">
        <w:rPr>
          <w:rFonts w:ascii="Times New Roman" w:hAnsi="Times New Roman" w:cs="Times New Roman"/>
        </w:rPr>
        <w:t xml:space="preserve"> and</w:t>
      </w:r>
      <w:r w:rsidR="007C359E" w:rsidRPr="00DC4545">
        <w:rPr>
          <w:rFonts w:ascii="Times New Roman" w:hAnsi="Times New Roman" w:cs="Times New Roman"/>
        </w:rPr>
        <w:t xml:space="preserve"> models that are largely untried </w:t>
      </w:r>
      <w:r w:rsidR="007C359E">
        <w:rPr>
          <w:rFonts w:ascii="Times New Roman" w:hAnsi="Times New Roman" w:cs="Times New Roman"/>
        </w:rPr>
        <w:t>in Grenada</w:t>
      </w:r>
      <w:r w:rsidR="007C359E" w:rsidRPr="00DC4545">
        <w:rPr>
          <w:rFonts w:ascii="Times New Roman" w:hAnsi="Times New Roman" w:cs="Times New Roman"/>
        </w:rPr>
        <w:t>.</w:t>
      </w:r>
    </w:p>
    <w:p w14:paraId="25507A83" w:rsidR="00133632" w:rsidRDefault="006C24E2" w:rsidP="009C3E04">
      <w:pPr>
        <w:pStyle w:val="Heading3"/>
      </w:pPr>
      <w:bookmarkStart w:id="9" w:name="_Toc389820953"/>
      <w:r>
        <w:t>1.A.</w:t>
      </w:r>
      <w:r w:rsidR="00A9248D">
        <w:t>5</w:t>
      </w:r>
      <w:r>
        <w:t xml:space="preserve">. </w:t>
      </w:r>
      <w:r w:rsidR="00226182">
        <w:t>L</w:t>
      </w:r>
      <w:r w:rsidR="00133632" w:rsidRPr="00DC4545">
        <w:t>egal /Institutional Context</w:t>
      </w:r>
      <w:bookmarkEnd w:id="9"/>
    </w:p>
    <w:p w14:paraId="6B568B2D" w:rsidR="00A8512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There are several policy instruments available to the Government of Grenada and relat</w:t>
      </w:r>
      <w:r w:rsidR="003D50E3">
        <w:rPr>
          <w:rFonts w:ascii="Times New Roman" w:hAnsi="Times New Roman" w:cs="Times New Roman"/>
        </w:rPr>
        <w:t>ed</w:t>
      </w:r>
      <w:r w:rsidRPr="00DC4545">
        <w:rPr>
          <w:rFonts w:ascii="Times New Roman" w:hAnsi="Times New Roman" w:cs="Times New Roman"/>
        </w:rPr>
        <w:t xml:space="preserve"> to management and conservation with respect to BD and ecosystems services. The small size of the Grenada jurisdiction</w:t>
      </w:r>
      <w:r w:rsidR="003D50E3">
        <w:rPr>
          <w:rFonts w:ascii="Times New Roman" w:hAnsi="Times New Roman" w:cs="Times New Roman"/>
        </w:rPr>
        <w:t>,</w:t>
      </w:r>
      <w:r w:rsidRPr="00DC4545">
        <w:rPr>
          <w:rFonts w:ascii="Times New Roman" w:hAnsi="Times New Roman" w:cs="Times New Roman"/>
        </w:rPr>
        <w:t xml:space="preserve"> and the manner in which local areas are administered (no Local area government</w:t>
      </w:r>
      <w:r w:rsidR="003D50E3">
        <w:rPr>
          <w:rFonts w:ascii="Times New Roman" w:hAnsi="Times New Roman" w:cs="Times New Roman"/>
        </w:rPr>
        <w:t>,</w:t>
      </w:r>
      <w:r w:rsidRPr="00DC4545">
        <w:rPr>
          <w:rFonts w:ascii="Times New Roman" w:hAnsi="Times New Roman" w:cs="Times New Roman"/>
        </w:rPr>
        <w:t xml:space="preserve"> </w:t>
      </w:r>
      <w:r w:rsidR="003D50E3">
        <w:rPr>
          <w:rFonts w:ascii="Times New Roman" w:hAnsi="Times New Roman" w:cs="Times New Roman"/>
        </w:rPr>
        <w:t>rather</w:t>
      </w:r>
      <w:r w:rsidRPr="00DC4545">
        <w:rPr>
          <w:rFonts w:ascii="Times New Roman" w:hAnsi="Times New Roman" w:cs="Times New Roman"/>
        </w:rPr>
        <w:t xml:space="preserve"> a Central government)</w:t>
      </w:r>
      <w:r w:rsidR="003D50E3">
        <w:rPr>
          <w:rFonts w:ascii="Times New Roman" w:hAnsi="Times New Roman" w:cs="Times New Roman"/>
        </w:rPr>
        <w:t>,</w:t>
      </w:r>
      <w:r w:rsidRPr="00DC4545">
        <w:rPr>
          <w:rFonts w:ascii="Times New Roman" w:hAnsi="Times New Roman" w:cs="Times New Roman"/>
        </w:rPr>
        <w:t xml:space="preserve"> allows for policy instruments to be applied as cross-cutting </w:t>
      </w:r>
      <w:r w:rsidR="003D50E3">
        <w:rPr>
          <w:rFonts w:ascii="Times New Roman" w:hAnsi="Times New Roman" w:cs="Times New Roman"/>
        </w:rPr>
        <w:t xml:space="preserve">by </w:t>
      </w:r>
      <w:r w:rsidRPr="00DC4545">
        <w:rPr>
          <w:rFonts w:ascii="Times New Roman" w:hAnsi="Times New Roman" w:cs="Times New Roman"/>
        </w:rPr>
        <w:t>several Ministries and Competent Authorities; policy direction is then favored by the s</w:t>
      </w:r>
      <w:r w:rsidR="00C40F49">
        <w:rPr>
          <w:rFonts w:ascii="Times New Roman" w:hAnsi="Times New Roman" w:cs="Times New Roman"/>
        </w:rPr>
        <w:t>ingle Cabinet government. Each M</w:t>
      </w:r>
      <w:r w:rsidRPr="00DC4545">
        <w:rPr>
          <w:rFonts w:ascii="Times New Roman" w:hAnsi="Times New Roman" w:cs="Times New Roman"/>
        </w:rPr>
        <w:t xml:space="preserve">inistry and/or Competent Authority is provided with legal and institutional capacity through the legislation they have to administer and with the institutional enablings available to it. </w:t>
      </w:r>
    </w:p>
    <w:p w14:paraId="2BE13E30" w:rsidR="00133632" w:rsidRPr="00DC4545" w:rsidRDefault="00A8512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Several national level development policies oversee environmental management in Grenada. T</w:t>
      </w:r>
      <w:r w:rsidR="00133632" w:rsidRPr="00DC4545">
        <w:rPr>
          <w:rFonts w:ascii="Times New Roman" w:hAnsi="Times New Roman" w:cs="Times New Roman"/>
        </w:rPr>
        <w:t xml:space="preserve">he </w:t>
      </w:r>
      <w:r w:rsidR="00133632" w:rsidRPr="00CC5C3C">
        <w:rPr>
          <w:rFonts w:ascii="Times New Roman" w:hAnsi="Times New Roman" w:cs="Times New Roman"/>
        </w:rPr>
        <w:t>National St</w:t>
      </w:r>
      <w:r>
        <w:rPr>
          <w:rFonts w:ascii="Times New Roman" w:hAnsi="Times New Roman" w:cs="Times New Roman"/>
        </w:rPr>
        <w:t>rategic Development Plan (2007)</w:t>
      </w:r>
      <w:r w:rsidR="003D50E3">
        <w:rPr>
          <w:rFonts w:ascii="Times New Roman" w:hAnsi="Times New Roman" w:cs="Times New Roman"/>
        </w:rPr>
        <w:t xml:space="preserve"> </w:t>
      </w:r>
      <w:r w:rsidR="00133632" w:rsidRPr="00DC4545">
        <w:rPr>
          <w:rFonts w:ascii="Times New Roman" w:hAnsi="Times New Roman" w:cs="Times New Roman"/>
        </w:rPr>
        <w:t xml:space="preserve">proposes that environmental considerations should be integrally linked to national development, identifies the need to link livelihoods and environmental sustainability, and advocates for better enforcement of laws to protect biodiversity. In addition, both the </w:t>
      </w:r>
      <w:r w:rsidR="00436A96">
        <w:rPr>
          <w:rFonts w:ascii="Times New Roman" w:hAnsi="Times New Roman" w:cs="Times New Roman"/>
        </w:rPr>
        <w:t xml:space="preserve">Tourism Master Plan (1997) </w:t>
      </w:r>
      <w:r w:rsidR="00133632" w:rsidRPr="00DC4545">
        <w:rPr>
          <w:rFonts w:ascii="Times New Roman" w:hAnsi="Times New Roman" w:cs="Times New Roman"/>
        </w:rPr>
        <w:t xml:space="preserve">and the </w:t>
      </w:r>
      <w:r w:rsidR="00133632" w:rsidRPr="00CC5C3C">
        <w:rPr>
          <w:rFonts w:ascii="Times New Roman" w:hAnsi="Times New Roman" w:cs="Times New Roman"/>
        </w:rPr>
        <w:t>National Environmental Policy and M</w:t>
      </w:r>
      <w:r w:rsidR="00436A96">
        <w:rPr>
          <w:rFonts w:ascii="Times New Roman" w:hAnsi="Times New Roman" w:cs="Times New Roman"/>
        </w:rPr>
        <w:t xml:space="preserve">anagement Strategy (NEMS, 2005) </w:t>
      </w:r>
      <w:r w:rsidR="00133632" w:rsidRPr="00DC4545">
        <w:rPr>
          <w:rFonts w:ascii="Times New Roman" w:hAnsi="Times New Roman" w:cs="Times New Roman"/>
        </w:rPr>
        <w:t xml:space="preserve">recognize the need to strengthen Grenada’s protected area system through the establishment of additional PA sites and the consolidation of legal and institutional frameworks to manage the PA system. </w:t>
      </w:r>
    </w:p>
    <w:p w14:paraId="0E4A4780" w:rsidR="008175A1" w:rsidRDefault="00BB235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8175A1">
        <w:rPr>
          <w:rFonts w:ascii="Times New Roman" w:hAnsi="Times New Roman" w:cs="Times New Roman"/>
        </w:rPr>
        <w:t>The objectives of Grenada’s</w:t>
      </w:r>
      <w:r w:rsidR="00133632" w:rsidRPr="008175A1">
        <w:rPr>
          <w:rFonts w:ascii="Times New Roman" w:hAnsi="Times New Roman" w:cs="Times New Roman"/>
        </w:rPr>
        <w:t xml:space="preserve"> National Biodiversity Strategy and Action Plan (NBSAP,</w:t>
      </w:r>
      <w:r w:rsidR="00436A96" w:rsidRPr="008175A1">
        <w:rPr>
          <w:rFonts w:ascii="Times New Roman" w:hAnsi="Times New Roman" w:cs="Times New Roman"/>
        </w:rPr>
        <w:t xml:space="preserve"> </w:t>
      </w:r>
      <w:r w:rsidRPr="008175A1">
        <w:rPr>
          <w:rFonts w:ascii="Times New Roman" w:hAnsi="Times New Roman" w:cs="Times New Roman"/>
        </w:rPr>
        <w:t xml:space="preserve">2000) </w:t>
      </w:r>
      <w:r w:rsidR="00436A96" w:rsidRPr="008175A1">
        <w:rPr>
          <w:rFonts w:ascii="Times New Roman" w:hAnsi="Times New Roman" w:cs="Times New Roman"/>
        </w:rPr>
        <w:t>are: to provide broad-</w:t>
      </w:r>
      <w:r w:rsidR="00133632" w:rsidRPr="008175A1">
        <w:rPr>
          <w:rFonts w:ascii="Times New Roman" w:hAnsi="Times New Roman" w:cs="Times New Roman"/>
        </w:rPr>
        <w:t xml:space="preserve">based support for conservation and sustainable use of biodiversity, to protect key </w:t>
      </w:r>
      <w:r w:rsidR="00436A96" w:rsidRPr="008175A1">
        <w:rPr>
          <w:rFonts w:ascii="Times New Roman" w:hAnsi="Times New Roman" w:cs="Times New Roman"/>
        </w:rPr>
        <w:t>ecosystems from negative human-</w:t>
      </w:r>
      <w:r w:rsidR="00133632" w:rsidRPr="008175A1">
        <w:rPr>
          <w:rFonts w:ascii="Times New Roman" w:hAnsi="Times New Roman" w:cs="Times New Roman"/>
        </w:rPr>
        <w:t>induced impacts, and to develop and encourage sustainable utilization of biological resources that are essential to the livelihoods of local communities. The objective of the National Action Plan (NAP, 2006) to support the UN Convention to Combat Desertification includ</w:t>
      </w:r>
      <w:r w:rsidRPr="008175A1">
        <w:rPr>
          <w:rFonts w:ascii="Times New Roman" w:hAnsi="Times New Roman" w:cs="Times New Roman"/>
        </w:rPr>
        <w:t>es</w:t>
      </w:r>
      <w:r w:rsidR="00133632" w:rsidRPr="008175A1">
        <w:rPr>
          <w:rFonts w:ascii="Times New Roman" w:hAnsi="Times New Roman" w:cs="Times New Roman"/>
        </w:rPr>
        <w:t xml:space="preserve"> identifying the factors contributing to land degradation and the physical measures required to combat land degradation and mitigate the effects of drought, and the National Climate Change Policy</w:t>
      </w:r>
      <w:r w:rsidR="00436A96" w:rsidRPr="008175A1">
        <w:rPr>
          <w:rFonts w:ascii="Times New Roman" w:hAnsi="Times New Roman" w:cs="Times New Roman"/>
        </w:rPr>
        <w:t xml:space="preserve">, </w:t>
      </w:r>
      <w:r w:rsidR="00133632" w:rsidRPr="008175A1">
        <w:rPr>
          <w:rFonts w:ascii="Times New Roman" w:hAnsi="Times New Roman" w:cs="Times New Roman"/>
        </w:rPr>
        <w:t xml:space="preserve">which identifies the need to address linkages between climate change and biodiversity. Other national policies and plans </w:t>
      </w:r>
      <w:r w:rsidR="008175A1" w:rsidRPr="008175A1">
        <w:rPr>
          <w:rFonts w:ascii="Times New Roman" w:hAnsi="Times New Roman" w:cs="Times New Roman"/>
        </w:rPr>
        <w:t>include</w:t>
      </w:r>
      <w:r w:rsidR="00133632" w:rsidRPr="008175A1">
        <w:rPr>
          <w:rFonts w:ascii="Times New Roman" w:hAnsi="Times New Roman" w:cs="Times New Roman"/>
        </w:rPr>
        <w:t xml:space="preserve"> Grenada’s National Forest Policy, which emphasizes the role of forest</w:t>
      </w:r>
      <w:r w:rsidR="00436A96" w:rsidRPr="008175A1">
        <w:rPr>
          <w:rFonts w:ascii="Times New Roman" w:hAnsi="Times New Roman" w:cs="Times New Roman"/>
        </w:rPr>
        <w:t>s</w:t>
      </w:r>
      <w:r w:rsidR="00133632" w:rsidRPr="008175A1">
        <w:rPr>
          <w:rFonts w:ascii="Times New Roman" w:hAnsi="Times New Roman" w:cs="Times New Roman"/>
        </w:rPr>
        <w:t xml:space="preserve"> in maintaining biological diversity, promoting soil and water conservation, and generating income</w:t>
      </w:r>
      <w:r w:rsidR="008175A1" w:rsidRPr="008175A1">
        <w:rPr>
          <w:rFonts w:ascii="Times New Roman" w:hAnsi="Times New Roman" w:cs="Times New Roman"/>
        </w:rPr>
        <w:t xml:space="preserve"> through ecotourism activities; </w:t>
      </w:r>
      <w:r w:rsidR="00133632" w:rsidRPr="008175A1">
        <w:rPr>
          <w:rFonts w:ascii="Times New Roman" w:hAnsi="Times New Roman" w:cs="Times New Roman"/>
        </w:rPr>
        <w:t xml:space="preserve">the Government’s </w:t>
      </w:r>
      <w:r w:rsidR="00436A96" w:rsidRPr="008175A1">
        <w:rPr>
          <w:rFonts w:ascii="Times New Roman" w:hAnsi="Times New Roman" w:cs="Times New Roman"/>
        </w:rPr>
        <w:t>“</w:t>
      </w:r>
      <w:r w:rsidR="00133632" w:rsidRPr="008175A1">
        <w:rPr>
          <w:rFonts w:ascii="Times New Roman" w:hAnsi="Times New Roman" w:cs="Times New Roman"/>
        </w:rPr>
        <w:t>Grenada Forest</w:t>
      </w:r>
      <w:r w:rsidR="00436A96" w:rsidRPr="008175A1">
        <w:rPr>
          <w:rFonts w:ascii="Times New Roman" w:hAnsi="Times New Roman" w:cs="Times New Roman"/>
        </w:rPr>
        <w:t xml:space="preserve"> </w:t>
      </w:r>
      <w:r w:rsidR="00133632" w:rsidRPr="008175A1">
        <w:rPr>
          <w:rFonts w:ascii="Times New Roman" w:hAnsi="Times New Roman" w:cs="Times New Roman"/>
        </w:rPr>
        <w:t>Rehabilitation Project</w:t>
      </w:r>
      <w:r w:rsidR="00436A96" w:rsidRPr="008175A1">
        <w:rPr>
          <w:rFonts w:ascii="Times New Roman" w:hAnsi="Times New Roman" w:cs="Times New Roman"/>
        </w:rPr>
        <w:t>”</w:t>
      </w:r>
      <w:r w:rsidR="00133632" w:rsidRPr="008175A1">
        <w:rPr>
          <w:rFonts w:ascii="Times New Roman" w:hAnsi="Times New Roman" w:cs="Times New Roman"/>
        </w:rPr>
        <w:t xml:space="preserve"> that is undertaking </w:t>
      </w:r>
      <w:r w:rsidR="00436A96" w:rsidRPr="008175A1">
        <w:rPr>
          <w:rFonts w:ascii="Times New Roman" w:hAnsi="Times New Roman" w:cs="Times New Roman"/>
        </w:rPr>
        <w:t>r</w:t>
      </w:r>
      <w:r w:rsidR="00133632" w:rsidRPr="008175A1">
        <w:rPr>
          <w:rFonts w:ascii="Times New Roman" w:hAnsi="Times New Roman" w:cs="Times New Roman"/>
        </w:rPr>
        <w:t>e-vegetation of forested areas in the aftermath of Hurricane Ivan</w:t>
      </w:r>
      <w:r w:rsidR="008175A1" w:rsidRPr="008175A1">
        <w:rPr>
          <w:rFonts w:ascii="Times New Roman" w:hAnsi="Times New Roman" w:cs="Times New Roman"/>
        </w:rPr>
        <w:t xml:space="preserve">; </w:t>
      </w:r>
      <w:r w:rsidR="008175A1">
        <w:rPr>
          <w:rFonts w:ascii="Times New Roman" w:hAnsi="Times New Roman" w:cs="Times New Roman"/>
        </w:rPr>
        <w:t xml:space="preserve">and </w:t>
      </w:r>
      <w:r w:rsidR="00133632" w:rsidRPr="008175A1">
        <w:rPr>
          <w:rFonts w:ascii="Times New Roman" w:hAnsi="Times New Roman" w:cs="Times New Roman"/>
        </w:rPr>
        <w:t>the Government’s strategy to implement the Grenada Protected Area System Plan</w:t>
      </w:r>
      <w:r w:rsidR="00436A96" w:rsidRPr="008175A1">
        <w:rPr>
          <w:rFonts w:ascii="Times New Roman" w:hAnsi="Times New Roman" w:cs="Times New Roman"/>
        </w:rPr>
        <w:t xml:space="preserve"> </w:t>
      </w:r>
      <w:r w:rsidR="00133632" w:rsidRPr="008175A1">
        <w:rPr>
          <w:rFonts w:ascii="Times New Roman" w:hAnsi="Times New Roman" w:cs="Times New Roman"/>
        </w:rPr>
        <w:t>(2011)</w:t>
      </w:r>
      <w:r w:rsidR="008175A1">
        <w:rPr>
          <w:rFonts w:ascii="Times New Roman" w:hAnsi="Times New Roman" w:cs="Times New Roman"/>
        </w:rPr>
        <w:t>.</w:t>
      </w:r>
      <w:r w:rsidR="008175A1" w:rsidRPr="008175A1">
        <w:rPr>
          <w:rFonts w:ascii="Times New Roman" w:hAnsi="Times New Roman" w:cs="Times New Roman"/>
        </w:rPr>
        <w:t xml:space="preserve"> </w:t>
      </w:r>
    </w:p>
    <w:p w14:paraId="0B79CDB3" w:rsidR="008175A1"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8175A1">
        <w:rPr>
          <w:rFonts w:ascii="Times New Roman" w:hAnsi="Times New Roman" w:cs="Times New Roman"/>
        </w:rPr>
        <w:t>Grenada</w:t>
      </w:r>
      <w:r w:rsidR="008175A1">
        <w:rPr>
          <w:rFonts w:ascii="Times New Roman" w:hAnsi="Times New Roman" w:cs="Times New Roman"/>
        </w:rPr>
        <w:t xml:space="preserve"> is also working to meet its</w:t>
      </w:r>
      <w:r w:rsidRPr="008175A1">
        <w:rPr>
          <w:rFonts w:ascii="Times New Roman" w:hAnsi="Times New Roman" w:cs="Times New Roman"/>
        </w:rPr>
        <w:t xml:space="preserve"> obligations under the Grenada</w:t>
      </w:r>
      <w:r w:rsidR="00436A96" w:rsidRPr="008175A1">
        <w:rPr>
          <w:rFonts w:ascii="Times New Roman" w:hAnsi="Times New Roman" w:cs="Times New Roman"/>
        </w:rPr>
        <w:t xml:space="preserve"> </w:t>
      </w:r>
      <w:r w:rsidRPr="008175A1">
        <w:rPr>
          <w:rFonts w:ascii="Times New Roman" w:hAnsi="Times New Roman" w:cs="Times New Roman"/>
        </w:rPr>
        <w:t>Declaration</w:t>
      </w:r>
      <w:r w:rsidR="008175A1">
        <w:rPr>
          <w:rFonts w:ascii="Times New Roman" w:hAnsi="Times New Roman" w:cs="Times New Roman"/>
        </w:rPr>
        <w:t>, as well as the Caribbean Challenge.  Specifically, the Grenada Declaration is</w:t>
      </w:r>
      <w:r w:rsidRPr="008175A1">
        <w:rPr>
          <w:rFonts w:ascii="Times New Roman" w:hAnsi="Times New Roman" w:cs="Times New Roman"/>
        </w:rPr>
        <w:t xml:space="preserve"> a pledge made at the 8th Meeting of the Conference of Parties to the Convention of Biological Diversity in 2006 to effectively conserve at least 25% of its near shore marine area and at least 25% of its terrestrial area by 2020 as a means to contribute to the sustainable livelihoods for its people and to contrib</w:t>
      </w:r>
      <w:r w:rsidR="00436A96" w:rsidRPr="008175A1">
        <w:rPr>
          <w:rFonts w:ascii="Times New Roman" w:hAnsi="Times New Roman" w:cs="Times New Roman"/>
        </w:rPr>
        <w:t>ute to the world’s biodiversity.  Grenada’s compliance with</w:t>
      </w:r>
      <w:r w:rsidRPr="008175A1">
        <w:rPr>
          <w:rFonts w:ascii="Times New Roman" w:hAnsi="Times New Roman" w:cs="Times New Roman"/>
        </w:rPr>
        <w:t xml:space="preserve"> the Caribbean Challenge (2008</w:t>
      </w:r>
      <w:r w:rsidR="008175A1">
        <w:rPr>
          <w:rFonts w:ascii="Times New Roman" w:hAnsi="Times New Roman" w:cs="Times New Roman"/>
        </w:rPr>
        <w:t>) includes a pledge</w:t>
      </w:r>
      <w:r w:rsidRPr="008175A1">
        <w:rPr>
          <w:rFonts w:ascii="Times New Roman" w:hAnsi="Times New Roman" w:cs="Times New Roman"/>
        </w:rPr>
        <w:t xml:space="preserve"> to legally protect 20% of near shore areas by 2020 via expansion and improved management effectiveness of its marine protected area system</w:t>
      </w:r>
      <w:r w:rsidR="00436A96">
        <w:rPr>
          <w:rStyle w:val="FootnoteReference"/>
          <w:rFonts w:ascii="Times New Roman" w:hAnsi="Times New Roman" w:cs="Times New Roman"/>
        </w:rPr>
        <w:footnoteReference w:id="6"/>
      </w:r>
      <w:r w:rsidRPr="008175A1">
        <w:rPr>
          <w:rFonts w:ascii="Times New Roman" w:hAnsi="Times New Roman" w:cs="Times New Roman"/>
        </w:rPr>
        <w:t xml:space="preserve">. </w:t>
      </w:r>
    </w:p>
    <w:p w14:paraId="58E1B7DE" w:rsidR="00133632" w:rsidRPr="008175A1" w:rsidRDefault="008175A1"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 xml:space="preserve">Finally, </w:t>
      </w:r>
      <w:r w:rsidR="00133632" w:rsidRPr="008175A1">
        <w:rPr>
          <w:rFonts w:ascii="Times New Roman" w:hAnsi="Times New Roman" w:cs="Times New Roman"/>
        </w:rPr>
        <w:t xml:space="preserve">Grenada </w:t>
      </w:r>
      <w:r>
        <w:rPr>
          <w:rFonts w:ascii="Times New Roman" w:hAnsi="Times New Roman" w:cs="Times New Roman"/>
        </w:rPr>
        <w:t xml:space="preserve">has a body of local laws and regulations (SROs) </w:t>
      </w:r>
      <w:r w:rsidR="00133632" w:rsidRPr="008175A1">
        <w:rPr>
          <w:rFonts w:ascii="Times New Roman" w:hAnsi="Times New Roman" w:cs="Times New Roman"/>
        </w:rPr>
        <w:t>to more effectively respond to conventions such as UNCBD, UNCCD and UNFCCC that are</w:t>
      </w:r>
      <w:r>
        <w:rPr>
          <w:rFonts w:ascii="Times New Roman" w:hAnsi="Times New Roman" w:cs="Times New Roman"/>
        </w:rPr>
        <w:t xml:space="preserve"> in effect</w:t>
      </w:r>
      <w:r w:rsidR="00133632" w:rsidRPr="008175A1">
        <w:rPr>
          <w:rFonts w:ascii="Times New Roman" w:hAnsi="Times New Roman" w:cs="Times New Roman"/>
        </w:rPr>
        <w:t xml:space="preserve"> outcomes of the various preceding Conventions and Protocols; Conventions and Protocols acceded to </w:t>
      </w:r>
      <w:r w:rsidR="00436A96" w:rsidRPr="008175A1">
        <w:rPr>
          <w:rFonts w:ascii="Times New Roman" w:hAnsi="Times New Roman" w:cs="Times New Roman"/>
        </w:rPr>
        <w:t xml:space="preserve">be </w:t>
      </w:r>
      <w:r w:rsidR="00133632" w:rsidRPr="008175A1">
        <w:rPr>
          <w:rFonts w:ascii="Times New Roman" w:hAnsi="Times New Roman" w:cs="Times New Roman"/>
        </w:rPr>
        <w:t xml:space="preserve">ratified or signed (as soft law) and then enacted </w:t>
      </w:r>
      <w:r w:rsidR="00436A96" w:rsidRPr="008175A1">
        <w:rPr>
          <w:rFonts w:ascii="Times New Roman" w:hAnsi="Times New Roman" w:cs="Times New Roman"/>
        </w:rPr>
        <w:t xml:space="preserve">local legislation (as hard law), </w:t>
      </w:r>
      <w:r>
        <w:rPr>
          <w:rFonts w:ascii="Times New Roman" w:hAnsi="Times New Roman" w:cs="Times New Roman"/>
        </w:rPr>
        <w:t xml:space="preserve">as </w:t>
      </w:r>
      <w:r w:rsidR="00436A96" w:rsidRPr="008175A1">
        <w:rPr>
          <w:rFonts w:ascii="Times New Roman" w:hAnsi="Times New Roman" w:cs="Times New Roman"/>
        </w:rPr>
        <w:t xml:space="preserve">provided in Table </w:t>
      </w:r>
      <w:r w:rsidR="00F24243" w:rsidRPr="008175A1">
        <w:rPr>
          <w:rFonts w:ascii="Times New Roman" w:hAnsi="Times New Roman" w:cs="Times New Roman"/>
        </w:rPr>
        <w:t>2</w:t>
      </w:r>
      <w:r w:rsidR="00436A96" w:rsidRPr="008175A1">
        <w:rPr>
          <w:rFonts w:ascii="Times New Roman" w:hAnsi="Times New Roman" w:cs="Times New Roman"/>
        </w:rPr>
        <w:t>.</w:t>
      </w:r>
      <w:r w:rsidR="00133632" w:rsidRPr="008175A1">
        <w:rPr>
          <w:rFonts w:ascii="Times New Roman" w:hAnsi="Times New Roman" w:cs="Times New Roman"/>
        </w:rPr>
        <w:t xml:space="preserve"> </w:t>
      </w:r>
    </w:p>
    <w:p w14:paraId="6B68AAEE" w:rsidR="008175A1" w:rsidRDefault="008175A1">
      <w:pPr>
        <w:rPr>
          <w:rFonts w:ascii="Times New Roman" w:hAnsi="Times New Roman" w:cs="Times New Roman"/>
          <w:b/>
        </w:rPr>
      </w:pPr>
      <w:r>
        <w:rPr>
          <w:rFonts w:ascii="Times New Roman" w:hAnsi="Times New Roman" w:cs="Times New Roman"/>
          <w:b/>
        </w:rPr>
        <w:br w:type="page"/>
      </w:r>
    </w:p>
    <w:p w14:paraId="64C35737" w:rsidR="00133632" w:rsidRPr="00DC4545" w:rsidRDefault="00133632" w:rsidP="009C3E04">
      <w:pPr>
        <w:rPr>
          <w:rFonts w:ascii="Times New Roman" w:hAnsi="Times New Roman" w:cs="Times New Roman"/>
          <w:b/>
        </w:rPr>
      </w:pPr>
      <w:r w:rsidRPr="00DC4545">
        <w:rPr>
          <w:rFonts w:ascii="Times New Roman" w:hAnsi="Times New Roman" w:cs="Times New Roman"/>
          <w:b/>
        </w:rPr>
        <w:t xml:space="preserve">Table </w:t>
      </w:r>
      <w:r w:rsidR="00F24243">
        <w:rPr>
          <w:rFonts w:ascii="Times New Roman" w:hAnsi="Times New Roman" w:cs="Times New Roman"/>
          <w:b/>
        </w:rPr>
        <w:t>2</w:t>
      </w:r>
      <w:r w:rsidRPr="00DC4545">
        <w:rPr>
          <w:rFonts w:ascii="Times New Roman" w:hAnsi="Times New Roman" w:cs="Times New Roman"/>
          <w:b/>
        </w:rPr>
        <w:t>. Specific Legislation in Support of Environmental Management</w:t>
      </w:r>
    </w:p>
    <w:tbl>
      <w:tblPr>
        <w:tblStyle w:val="TableGrid"/>
        <w:tblW w:w="10412" w:type="dxa"/>
        <w:tblInd w:w="-252" w:type="dxa"/>
        <w:tblLook w:val="04A0" w:firstRow="1" w:lastRow="0" w:firstColumn="1" w:lastColumn="0" w:noHBand="0" w:noVBand="1"/>
      </w:tblPr>
      <w:tblGrid>
        <w:gridCol w:w="5130"/>
        <w:gridCol w:w="5282"/>
      </w:tblGrid>
      <w:tr w14:paraId="1E660F8D" w:rsidR="00133632" w:rsidRPr="006D1BDE" w:rsidTr="00A85122">
        <w:trPr>
          <w:trHeight w:val="233"/>
        </w:trPr>
        <w:tc>
          <w:tcPr>
            <w:tcW w:w="5130" w:type="dxa"/>
            <w:shd w:val="clear" w:color="auto" w:fill="F2F2F2" w:themeFill="background1" w:themeFillShade="F2"/>
          </w:tcPr>
          <w:p w14:paraId="04640C2E" w:rsidR="00133632" w:rsidRPr="006D1BDE" w:rsidRDefault="00133632" w:rsidP="009C3E04">
            <w:pPr>
              <w:rPr>
                <w:rFonts w:ascii="Times New Roman" w:hAnsi="Times New Roman" w:cs="Times New Roman"/>
                <w:b/>
                <w:sz w:val="20"/>
                <w:szCs w:val="20"/>
              </w:rPr>
            </w:pPr>
            <w:r w:rsidRPr="006D1BDE">
              <w:rPr>
                <w:rFonts w:ascii="Times New Roman" w:hAnsi="Times New Roman" w:cs="Times New Roman"/>
                <w:b/>
                <w:sz w:val="20"/>
                <w:szCs w:val="20"/>
              </w:rPr>
              <w:t>Name of Local Legislation</w:t>
            </w:r>
          </w:p>
        </w:tc>
        <w:tc>
          <w:tcPr>
            <w:tcW w:w="5282" w:type="dxa"/>
            <w:shd w:val="clear" w:color="auto" w:fill="F2F2F2" w:themeFill="background1" w:themeFillShade="F2"/>
          </w:tcPr>
          <w:p w14:paraId="32D3F08D" w:rsidR="00133632" w:rsidRPr="006D1BDE" w:rsidRDefault="002F2C81" w:rsidP="009C3E04">
            <w:pPr>
              <w:rPr>
                <w:rFonts w:ascii="Times New Roman" w:hAnsi="Times New Roman" w:cs="Times New Roman"/>
                <w:b/>
                <w:sz w:val="20"/>
                <w:szCs w:val="20"/>
              </w:rPr>
            </w:pPr>
            <w:r>
              <w:rPr>
                <w:rFonts w:ascii="Times New Roman" w:hAnsi="Times New Roman" w:cs="Times New Roman"/>
                <w:b/>
                <w:sz w:val="20"/>
                <w:szCs w:val="20"/>
              </w:rPr>
              <w:t>Function and/</w:t>
            </w:r>
            <w:r w:rsidR="00133632" w:rsidRPr="006D1BDE">
              <w:rPr>
                <w:rFonts w:ascii="Times New Roman" w:hAnsi="Times New Roman" w:cs="Times New Roman"/>
                <w:b/>
                <w:sz w:val="20"/>
                <w:szCs w:val="20"/>
              </w:rPr>
              <w:t>or Origin</w:t>
            </w:r>
          </w:p>
        </w:tc>
      </w:tr>
      <w:tr w14:paraId="5C00ED44" w:rsidR="00133632" w:rsidRPr="006D1BDE" w:rsidTr="00005220">
        <w:trPr>
          <w:trHeight w:val="231"/>
        </w:trPr>
        <w:tc>
          <w:tcPr>
            <w:tcW w:w="5130" w:type="dxa"/>
            <w:vAlign w:val="center"/>
          </w:tcPr>
          <w:p w14:paraId="534EEFD9"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Yachting Act#17 (2000)</w:t>
            </w:r>
          </w:p>
        </w:tc>
        <w:tc>
          <w:tcPr>
            <w:tcW w:w="5282" w:type="dxa"/>
            <w:vAlign w:val="center"/>
          </w:tcPr>
          <w:p w14:paraId="566E15D5"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Promotes Yachting that impacts marine biodiversity</w:t>
            </w:r>
          </w:p>
        </w:tc>
      </w:tr>
      <w:tr w14:paraId="631DFB5E" w:rsidR="00133632" w:rsidRPr="006D1BDE" w:rsidTr="00005220">
        <w:trPr>
          <w:trHeight w:val="463"/>
        </w:trPr>
        <w:tc>
          <w:tcPr>
            <w:tcW w:w="5130" w:type="dxa"/>
            <w:vAlign w:val="center"/>
          </w:tcPr>
          <w:p w14:paraId="530A3059"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Beach Protection Act#67 (1979), Cap. 29 of 1990</w:t>
            </w:r>
          </w:p>
        </w:tc>
        <w:tc>
          <w:tcPr>
            <w:tcW w:w="5282" w:type="dxa"/>
            <w:vAlign w:val="center"/>
          </w:tcPr>
          <w:p w14:paraId="0D02172F"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Control the removal of aggregates from the sea shore </w:t>
            </w:r>
          </w:p>
        </w:tc>
      </w:tr>
      <w:tr w14:paraId="4334F43E" w:rsidR="00133632" w:rsidRPr="006D1BDE" w:rsidTr="00005220">
        <w:trPr>
          <w:trHeight w:val="217"/>
        </w:trPr>
        <w:tc>
          <w:tcPr>
            <w:tcW w:w="5130" w:type="dxa"/>
            <w:vAlign w:val="center"/>
          </w:tcPr>
          <w:p w14:paraId="1DD1DA0D"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Bathing Places Act Cap.28 of 1990</w:t>
            </w:r>
          </w:p>
        </w:tc>
        <w:tc>
          <w:tcPr>
            <w:tcW w:w="5282" w:type="dxa"/>
            <w:vAlign w:val="center"/>
          </w:tcPr>
          <w:p w14:paraId="0F028E17"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Control of Public bathing spaces </w:t>
            </w:r>
          </w:p>
        </w:tc>
      </w:tr>
      <w:tr w14:paraId="15D17FB5" w:rsidR="00133632" w:rsidRPr="006D1BDE" w:rsidTr="00005220">
        <w:trPr>
          <w:trHeight w:val="463"/>
        </w:trPr>
        <w:tc>
          <w:tcPr>
            <w:tcW w:w="5130" w:type="dxa"/>
            <w:vAlign w:val="center"/>
          </w:tcPr>
          <w:p w14:paraId="65971C94"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Petroleum and National Gas Deposits Act Cap. 240 1990</w:t>
            </w:r>
          </w:p>
        </w:tc>
        <w:tc>
          <w:tcPr>
            <w:tcW w:w="5282" w:type="dxa"/>
            <w:vAlign w:val="center"/>
          </w:tcPr>
          <w:p w14:paraId="7CF5725B" w:rsidR="00133632" w:rsidRPr="006D1BDE" w:rsidRDefault="002F2C81" w:rsidP="009C3E04">
            <w:pPr>
              <w:rPr>
                <w:rFonts w:ascii="Times New Roman" w:hAnsi="Times New Roman" w:cs="Times New Roman"/>
                <w:sz w:val="20"/>
                <w:szCs w:val="20"/>
              </w:rPr>
            </w:pPr>
            <w:r>
              <w:rPr>
                <w:rFonts w:ascii="Times New Roman" w:hAnsi="Times New Roman" w:cs="Times New Roman"/>
                <w:sz w:val="20"/>
                <w:szCs w:val="20"/>
              </w:rPr>
              <w:t>Control of exploration/</w:t>
            </w:r>
            <w:r w:rsidR="00133632" w:rsidRPr="006D1BDE">
              <w:rPr>
                <w:rFonts w:ascii="Times New Roman" w:hAnsi="Times New Roman" w:cs="Times New Roman"/>
                <w:sz w:val="20"/>
                <w:szCs w:val="20"/>
              </w:rPr>
              <w:t>mining having pote</w:t>
            </w:r>
            <w:r>
              <w:rPr>
                <w:rFonts w:ascii="Times New Roman" w:hAnsi="Times New Roman" w:cs="Times New Roman"/>
                <w:sz w:val="20"/>
                <w:szCs w:val="20"/>
              </w:rPr>
              <w:t>ntial impacts on biodiversity/</w:t>
            </w:r>
            <w:r w:rsidR="00133632" w:rsidRPr="006D1BDE">
              <w:rPr>
                <w:rFonts w:ascii="Times New Roman" w:hAnsi="Times New Roman" w:cs="Times New Roman"/>
                <w:sz w:val="20"/>
                <w:szCs w:val="20"/>
              </w:rPr>
              <w:t xml:space="preserve">ecosystems functions </w:t>
            </w:r>
          </w:p>
        </w:tc>
      </w:tr>
      <w:tr w14:paraId="6CAAB7F8" w:rsidR="00133632" w:rsidRPr="006D1BDE" w:rsidTr="00005220">
        <w:trPr>
          <w:trHeight w:val="449"/>
        </w:trPr>
        <w:tc>
          <w:tcPr>
            <w:tcW w:w="5130" w:type="dxa"/>
            <w:vAlign w:val="center"/>
          </w:tcPr>
          <w:p w14:paraId="1E83B2FF"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Civil Liability for Oil Pollution Damage (International Convention.) Act#6, 1998</w:t>
            </w:r>
          </w:p>
        </w:tc>
        <w:tc>
          <w:tcPr>
            <w:tcW w:w="5282" w:type="dxa"/>
            <w:vAlign w:val="center"/>
          </w:tcPr>
          <w:p w14:paraId="34A55A49"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Provide for local compliance with the 1992 compensation fund for oil pollution damages </w:t>
            </w:r>
          </w:p>
        </w:tc>
      </w:tr>
      <w:tr w14:paraId="269C0E01" w:rsidR="00133632" w:rsidRPr="006D1BDE" w:rsidTr="00005220">
        <w:trPr>
          <w:trHeight w:val="463"/>
        </w:trPr>
        <w:tc>
          <w:tcPr>
            <w:tcW w:w="5130" w:type="dxa"/>
            <w:vAlign w:val="center"/>
          </w:tcPr>
          <w:p w14:paraId="411AF83B"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Pollution Damage Compensation Fund (International Convention.) Act#6, 1998</w:t>
            </w:r>
          </w:p>
        </w:tc>
        <w:tc>
          <w:tcPr>
            <w:tcW w:w="5282" w:type="dxa"/>
            <w:vAlign w:val="center"/>
          </w:tcPr>
          <w:p w14:paraId="15E56C7A" w:rsidR="00133632" w:rsidRPr="006D1BDE" w:rsidRDefault="002F2C81" w:rsidP="009C3E04">
            <w:pPr>
              <w:rPr>
                <w:rFonts w:ascii="Times New Roman" w:hAnsi="Times New Roman" w:cs="Times New Roman"/>
                <w:sz w:val="20"/>
                <w:szCs w:val="20"/>
              </w:rPr>
            </w:pPr>
            <w:r>
              <w:rPr>
                <w:rFonts w:ascii="Times New Roman" w:hAnsi="Times New Roman" w:cs="Times New Roman"/>
                <w:sz w:val="20"/>
                <w:szCs w:val="20"/>
              </w:rPr>
              <w:t xml:space="preserve">Local level implementation </w:t>
            </w:r>
            <w:r w:rsidR="00133632" w:rsidRPr="006D1BDE">
              <w:rPr>
                <w:rFonts w:ascii="Times New Roman" w:hAnsi="Times New Roman" w:cs="Times New Roman"/>
                <w:sz w:val="20"/>
                <w:szCs w:val="20"/>
              </w:rPr>
              <w:t xml:space="preserve">of the International Convention Fund (1992). </w:t>
            </w:r>
          </w:p>
        </w:tc>
      </w:tr>
      <w:tr w14:paraId="7F6E2558" w:rsidR="00133632" w:rsidRPr="006D1BDE" w:rsidTr="00005220">
        <w:trPr>
          <w:trHeight w:val="463"/>
        </w:trPr>
        <w:tc>
          <w:tcPr>
            <w:tcW w:w="5130" w:type="dxa"/>
            <w:vAlign w:val="center"/>
          </w:tcPr>
          <w:p w14:paraId="10E4BD90"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National Water and Sewage Authority Cap.208, 1990</w:t>
            </w:r>
          </w:p>
        </w:tc>
        <w:tc>
          <w:tcPr>
            <w:tcW w:w="5282" w:type="dxa"/>
            <w:vAlign w:val="center"/>
          </w:tcPr>
          <w:p w14:paraId="1D424861"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Competent Authority for sequestration of potable water and for disposal of liquid wastes. </w:t>
            </w:r>
          </w:p>
        </w:tc>
      </w:tr>
      <w:tr w14:paraId="748FD828" w:rsidR="00133632" w:rsidRPr="006D1BDE" w:rsidTr="00005220">
        <w:trPr>
          <w:trHeight w:val="449"/>
        </w:trPr>
        <w:tc>
          <w:tcPr>
            <w:tcW w:w="5130" w:type="dxa"/>
            <w:vAlign w:val="center"/>
          </w:tcPr>
          <w:p w14:paraId="76B895CD"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Land Settlement Act Cap.161, 1990</w:t>
            </w:r>
          </w:p>
        </w:tc>
        <w:tc>
          <w:tcPr>
            <w:tcW w:w="5282" w:type="dxa"/>
            <w:vAlign w:val="center"/>
          </w:tcPr>
          <w:p w14:paraId="11CAD397" w:rsidR="00133632" w:rsidRPr="006D1BDE" w:rsidRDefault="002F2C81" w:rsidP="009C3E04">
            <w:pPr>
              <w:rPr>
                <w:rFonts w:ascii="Times New Roman" w:hAnsi="Times New Roman" w:cs="Times New Roman"/>
                <w:sz w:val="20"/>
                <w:szCs w:val="20"/>
              </w:rPr>
            </w:pPr>
            <w:r>
              <w:rPr>
                <w:rFonts w:ascii="Times New Roman" w:hAnsi="Times New Roman" w:cs="Times New Roman"/>
                <w:sz w:val="20"/>
                <w:szCs w:val="20"/>
              </w:rPr>
              <w:t>Allocate/</w:t>
            </w:r>
            <w:r w:rsidR="00133632" w:rsidRPr="006D1BDE">
              <w:rPr>
                <w:rFonts w:ascii="Times New Roman" w:hAnsi="Times New Roman" w:cs="Times New Roman"/>
                <w:sz w:val="20"/>
                <w:szCs w:val="20"/>
              </w:rPr>
              <w:t>Control use of the lands to persons for housing and agro-production</w:t>
            </w:r>
          </w:p>
        </w:tc>
      </w:tr>
      <w:tr w14:paraId="1A49BBF1" w:rsidR="00133632" w:rsidRPr="006D1BDE" w:rsidTr="00005220">
        <w:trPr>
          <w:trHeight w:val="463"/>
        </w:trPr>
        <w:tc>
          <w:tcPr>
            <w:tcW w:w="5130" w:type="dxa"/>
            <w:vAlign w:val="center"/>
          </w:tcPr>
          <w:p w14:paraId="63E5EB26"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Land Acquisition Act Cap. 159, 1990</w:t>
            </w:r>
          </w:p>
        </w:tc>
        <w:tc>
          <w:tcPr>
            <w:tcW w:w="5282" w:type="dxa"/>
            <w:vAlign w:val="center"/>
          </w:tcPr>
          <w:p w14:paraId="30A94E68"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Government Authority to acquire, promote land with compensation</w:t>
            </w:r>
          </w:p>
        </w:tc>
      </w:tr>
      <w:tr w14:paraId="7DBDA83E" w:rsidR="00133632" w:rsidRPr="006D1BDE" w:rsidTr="00005220">
        <w:trPr>
          <w:trHeight w:val="449"/>
        </w:trPr>
        <w:tc>
          <w:tcPr>
            <w:tcW w:w="5130" w:type="dxa"/>
            <w:vAlign w:val="center"/>
          </w:tcPr>
          <w:p w14:paraId="69BDF132"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Land Acquisition (Partial Abandonment of land (at Belmont) Act, #25, 1996</w:t>
            </w:r>
          </w:p>
        </w:tc>
        <w:tc>
          <w:tcPr>
            <w:tcW w:w="5282" w:type="dxa"/>
            <w:vAlign w:val="center"/>
          </w:tcPr>
          <w:p w14:paraId="02DC526F"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Acquisition for partial abandonment pursuant to Act#59, 1990</w:t>
            </w:r>
          </w:p>
        </w:tc>
      </w:tr>
      <w:tr w14:paraId="724F6484" w:rsidR="00133632" w:rsidRPr="006D1BDE" w:rsidTr="00005220">
        <w:trPr>
          <w:trHeight w:val="231"/>
        </w:trPr>
        <w:tc>
          <w:tcPr>
            <w:tcW w:w="5130" w:type="dxa"/>
            <w:vAlign w:val="center"/>
          </w:tcPr>
          <w:p w14:paraId="6F7032DD"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Fisheries Act, #15, 1986</w:t>
            </w:r>
          </w:p>
        </w:tc>
        <w:tc>
          <w:tcPr>
            <w:tcW w:w="5282" w:type="dxa"/>
            <w:vAlign w:val="center"/>
          </w:tcPr>
          <w:p w14:paraId="6F1896F7"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Promotion of fisheries in the fisheries waters of Grenada</w:t>
            </w:r>
          </w:p>
        </w:tc>
      </w:tr>
      <w:tr w14:paraId="53A183B4" w:rsidR="00133632" w:rsidRPr="006D1BDE" w:rsidTr="00005220">
        <w:trPr>
          <w:trHeight w:val="463"/>
        </w:trPr>
        <w:tc>
          <w:tcPr>
            <w:tcW w:w="5130" w:type="dxa"/>
            <w:vAlign w:val="center"/>
          </w:tcPr>
          <w:p w14:paraId="254B4BB8"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Land Development and Utilization (Surrender and Repeal) ordinance #32, 1984</w:t>
            </w:r>
          </w:p>
        </w:tc>
        <w:tc>
          <w:tcPr>
            <w:tcW w:w="5282" w:type="dxa"/>
            <w:vAlign w:val="center"/>
          </w:tcPr>
          <w:p w14:paraId="4CFDAEB9"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To surrender leasehold interest compulsorily acquired by Government by previous law </w:t>
            </w:r>
          </w:p>
        </w:tc>
      </w:tr>
      <w:tr w14:paraId="53742CEE" w:rsidR="00133632" w:rsidRPr="006D1BDE" w:rsidTr="00005220">
        <w:trPr>
          <w:trHeight w:val="449"/>
        </w:trPr>
        <w:tc>
          <w:tcPr>
            <w:tcW w:w="5130" w:type="dxa"/>
            <w:vAlign w:val="center"/>
          </w:tcPr>
          <w:p w14:paraId="2444AACD"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 xml:space="preserve">Grenada Ports Authority Acts#14 (1978), #5 (1986), #52 (1989) and others </w:t>
            </w:r>
          </w:p>
        </w:tc>
        <w:tc>
          <w:tcPr>
            <w:tcW w:w="5282" w:type="dxa"/>
            <w:vAlign w:val="center"/>
          </w:tcPr>
          <w:p w14:paraId="7F71BA4E"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Seaports Authority as corporate body to control shipping and facilitate Customs and immigration services</w:t>
            </w:r>
          </w:p>
        </w:tc>
      </w:tr>
      <w:tr w14:paraId="56191E13" w:rsidR="00133632" w:rsidRPr="006D1BDE" w:rsidTr="00005220">
        <w:trPr>
          <w:trHeight w:val="463"/>
        </w:trPr>
        <w:tc>
          <w:tcPr>
            <w:tcW w:w="5130" w:type="dxa"/>
            <w:vAlign w:val="center"/>
          </w:tcPr>
          <w:p w14:paraId="0714E2C2"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Physical Planning and Development Control, #25 (2002)</w:t>
            </w:r>
          </w:p>
        </w:tc>
        <w:tc>
          <w:tcPr>
            <w:tcW w:w="5282" w:type="dxa"/>
            <w:vAlign w:val="center"/>
          </w:tcPr>
          <w:p w14:paraId="5B1C1CED"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Control of all physical development and protection of physical and cultural heritage </w:t>
            </w:r>
          </w:p>
        </w:tc>
      </w:tr>
      <w:tr w14:paraId="4FB08FFE" w:rsidR="00133632" w:rsidRPr="006D1BDE" w:rsidTr="00005220">
        <w:trPr>
          <w:trHeight w:val="680"/>
        </w:trPr>
        <w:tc>
          <w:tcPr>
            <w:tcW w:w="5130" w:type="dxa"/>
            <w:vAlign w:val="center"/>
          </w:tcPr>
          <w:p w14:paraId="719C94D2"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Forest, Soil and Water conservation Act Cap.129 (1958), Cap12 (1967) and Cap34 (1984)</w:t>
            </w:r>
          </w:p>
        </w:tc>
        <w:tc>
          <w:tcPr>
            <w:tcW w:w="5282" w:type="dxa"/>
            <w:vAlign w:val="center"/>
          </w:tcPr>
          <w:p w14:paraId="3FB95DEE"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Provide for conservation of soil, water and forest resource shows gaps with respect to UNCBD, UNCCD, UNFCC, SPAW</w:t>
            </w:r>
          </w:p>
        </w:tc>
      </w:tr>
      <w:tr w14:paraId="6E6118D1" w:rsidR="00133632" w:rsidRPr="006D1BDE" w:rsidTr="00005220">
        <w:trPr>
          <w:trHeight w:val="463"/>
        </w:trPr>
        <w:tc>
          <w:tcPr>
            <w:tcW w:w="5130" w:type="dxa"/>
            <w:vAlign w:val="center"/>
          </w:tcPr>
          <w:p w14:paraId="3F368637"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Oil in Navigable Waters Act (Sanitation-based) Cap218 (1990)</w:t>
            </w:r>
          </w:p>
        </w:tc>
        <w:tc>
          <w:tcPr>
            <w:tcW w:w="5282" w:type="dxa"/>
            <w:vAlign w:val="center"/>
          </w:tcPr>
          <w:p w14:paraId="6FC69480"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Control of discharge or escape of oil in the territorial waters of Grenada</w:t>
            </w:r>
          </w:p>
        </w:tc>
      </w:tr>
      <w:tr w14:paraId="56D47369" w:rsidR="00133632" w:rsidRPr="006D1BDE" w:rsidTr="00005220">
        <w:trPr>
          <w:trHeight w:val="231"/>
        </w:trPr>
        <w:tc>
          <w:tcPr>
            <w:tcW w:w="5130" w:type="dxa"/>
            <w:vAlign w:val="center"/>
          </w:tcPr>
          <w:p w14:paraId="3245A9DD"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Marine Protected Areas (Amendment) Act#1, 1999</w:t>
            </w:r>
          </w:p>
        </w:tc>
        <w:tc>
          <w:tcPr>
            <w:tcW w:w="5282" w:type="dxa"/>
            <w:vAlign w:val="center"/>
          </w:tcPr>
          <w:p w14:paraId="2A4DB2B3"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 xml:space="preserve">Legal definition for MPAs and provides for management arrangements. </w:t>
            </w:r>
          </w:p>
        </w:tc>
      </w:tr>
      <w:tr w14:paraId="4EDDEABD" w:rsidR="00133632" w:rsidRPr="006D1BDE" w:rsidTr="00005220">
        <w:trPr>
          <w:trHeight w:val="144"/>
        </w:trPr>
        <w:tc>
          <w:tcPr>
            <w:tcW w:w="5130" w:type="dxa"/>
            <w:vAlign w:val="center"/>
          </w:tcPr>
          <w:p w14:paraId="1EF7EA34" w:rsidR="00133632" w:rsidRPr="006D1BDE" w:rsidRDefault="00133632" w:rsidP="009C67A9">
            <w:pPr>
              <w:pStyle w:val="ListParagraph"/>
              <w:numPr>
                <w:ilvl w:val="0"/>
                <w:numId w:val="1"/>
              </w:numPr>
              <w:rPr>
                <w:rFonts w:ascii="Times New Roman" w:hAnsi="Times New Roman" w:cs="Times New Roman"/>
                <w:sz w:val="20"/>
                <w:szCs w:val="20"/>
              </w:rPr>
            </w:pPr>
            <w:r w:rsidRPr="006D1BDE">
              <w:rPr>
                <w:rFonts w:ascii="Times New Roman" w:hAnsi="Times New Roman" w:cs="Times New Roman"/>
                <w:sz w:val="20"/>
                <w:szCs w:val="20"/>
              </w:rPr>
              <w:t>Application For Developing Land And Land Development Control Cap160</w:t>
            </w:r>
          </w:p>
        </w:tc>
        <w:tc>
          <w:tcPr>
            <w:tcW w:w="5282" w:type="dxa"/>
            <w:vAlign w:val="center"/>
          </w:tcPr>
          <w:p w14:paraId="737F4E9D" w:rsidR="00133632" w:rsidRPr="006D1BDE" w:rsidRDefault="00133632" w:rsidP="009C3E04">
            <w:pPr>
              <w:rPr>
                <w:rFonts w:ascii="Times New Roman" w:hAnsi="Times New Roman" w:cs="Times New Roman"/>
                <w:sz w:val="20"/>
                <w:szCs w:val="20"/>
              </w:rPr>
            </w:pPr>
            <w:r w:rsidRPr="006D1BDE">
              <w:rPr>
                <w:rFonts w:ascii="Times New Roman" w:hAnsi="Times New Roman" w:cs="Times New Roman"/>
                <w:sz w:val="20"/>
                <w:szCs w:val="20"/>
              </w:rPr>
              <w:t>Provides for accepting applications for land development</w:t>
            </w:r>
          </w:p>
        </w:tc>
      </w:tr>
    </w:tbl>
    <w:p w14:paraId="1591A82C" w:rsidR="00133632" w:rsidRPr="00656FE3" w:rsidRDefault="00133632" w:rsidP="009C3E04">
      <w:pPr>
        <w:rPr>
          <w:rFonts w:ascii="Times New Roman" w:hAnsi="Times New Roman" w:cs="Times New Roman"/>
          <w:b/>
          <w:sz w:val="24"/>
          <w:szCs w:val="24"/>
        </w:rPr>
      </w:pPr>
    </w:p>
    <w:p w14:paraId="6771151B" w:rsidR="00133632" w:rsidRPr="009F2088" w:rsidRDefault="00436A9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9F2088">
        <w:rPr>
          <w:rFonts w:ascii="Times New Roman" w:hAnsi="Times New Roman" w:cs="Times New Roman"/>
        </w:rPr>
        <w:t>While</w:t>
      </w:r>
      <w:r w:rsidR="00133632" w:rsidRPr="009F2088">
        <w:rPr>
          <w:rFonts w:ascii="Times New Roman" w:hAnsi="Times New Roman" w:cs="Times New Roman"/>
        </w:rPr>
        <w:t xml:space="preserve"> the Land Tenure and applications of pol</w:t>
      </w:r>
      <w:r w:rsidR="002F2C81" w:rsidRPr="009F2088">
        <w:rPr>
          <w:rFonts w:ascii="Times New Roman" w:hAnsi="Times New Roman" w:cs="Times New Roman"/>
        </w:rPr>
        <w:t>icy-based management control of</w:t>
      </w:r>
      <w:r w:rsidR="00133632" w:rsidRPr="009F2088">
        <w:rPr>
          <w:rFonts w:ascii="Times New Roman" w:hAnsi="Times New Roman" w:cs="Times New Roman"/>
        </w:rPr>
        <w:t xml:space="preserve"> landscapes by Government is so constricted, there is considerable law and Administrative Authority provided by the historical “L</w:t>
      </w:r>
      <w:r w:rsidRPr="009F2088">
        <w:rPr>
          <w:rFonts w:ascii="Times New Roman" w:hAnsi="Times New Roman" w:cs="Times New Roman"/>
        </w:rPr>
        <w:t xml:space="preserve">and Development control regime” </w:t>
      </w:r>
      <w:r w:rsidR="00133632" w:rsidRPr="009F2088">
        <w:rPr>
          <w:rFonts w:ascii="Times New Roman" w:hAnsi="Times New Roman" w:cs="Times New Roman"/>
        </w:rPr>
        <w:t xml:space="preserve">available to </w:t>
      </w:r>
      <w:r w:rsidRPr="009F2088">
        <w:rPr>
          <w:rFonts w:ascii="Times New Roman" w:hAnsi="Times New Roman" w:cs="Times New Roman"/>
        </w:rPr>
        <w:t xml:space="preserve">the </w:t>
      </w:r>
      <w:r w:rsidR="00133632" w:rsidRPr="009F2088">
        <w:rPr>
          <w:rFonts w:ascii="Times New Roman" w:hAnsi="Times New Roman" w:cs="Times New Roman"/>
        </w:rPr>
        <w:t>Government.</w:t>
      </w:r>
      <w:r w:rsidR="009F2088">
        <w:rPr>
          <w:rFonts w:ascii="Times New Roman" w:hAnsi="Times New Roman" w:cs="Times New Roman"/>
        </w:rPr>
        <w:t xml:space="preserve">  </w:t>
      </w:r>
      <w:r w:rsidR="00133632" w:rsidRPr="009F2088">
        <w:rPr>
          <w:rFonts w:ascii="Times New Roman" w:hAnsi="Times New Roman" w:cs="Times New Roman"/>
        </w:rPr>
        <w:t xml:space="preserve">A major challenge and objective for the project </w:t>
      </w:r>
      <w:r w:rsidR="009F2088" w:rsidRPr="009F2088">
        <w:rPr>
          <w:rFonts w:ascii="Times New Roman" w:hAnsi="Times New Roman" w:cs="Times New Roman"/>
        </w:rPr>
        <w:t>will</w:t>
      </w:r>
      <w:r w:rsidR="00133632" w:rsidRPr="009F2088">
        <w:rPr>
          <w:rFonts w:ascii="Times New Roman" w:hAnsi="Times New Roman" w:cs="Times New Roman"/>
        </w:rPr>
        <w:t xml:space="preserve"> be to facilitate legislative enhancements, mainly providing for enactment of a draft bill: “Protected Areas, Forestry and Wildlife</w:t>
      </w:r>
      <w:r w:rsidR="008175A1">
        <w:rPr>
          <w:rFonts w:ascii="Times New Roman" w:hAnsi="Times New Roman" w:cs="Times New Roman"/>
        </w:rPr>
        <w:t xml:space="preserve"> Bill</w:t>
      </w:r>
      <w:r w:rsidR="00133632" w:rsidRPr="009F2088">
        <w:rPr>
          <w:rFonts w:ascii="Times New Roman" w:hAnsi="Times New Roman" w:cs="Times New Roman"/>
        </w:rPr>
        <w:t>” that would bring provisions for forestry management to be more in line with expectations of UNCBD,</w:t>
      </w:r>
      <w:r w:rsidR="00656FE3" w:rsidRPr="009F2088">
        <w:rPr>
          <w:rFonts w:ascii="Times New Roman" w:hAnsi="Times New Roman" w:cs="Times New Roman"/>
        </w:rPr>
        <w:t xml:space="preserve"> UNCCD and UNFCCC; and especi</w:t>
      </w:r>
      <w:r w:rsidR="00133632" w:rsidRPr="009F2088">
        <w:rPr>
          <w:rFonts w:ascii="Times New Roman" w:hAnsi="Times New Roman" w:cs="Times New Roman"/>
        </w:rPr>
        <w:t>ally for rule-based applications of INRM (SL</w:t>
      </w:r>
      <w:r w:rsidR="00B73353" w:rsidRPr="009F2088">
        <w:rPr>
          <w:rFonts w:ascii="Times New Roman" w:hAnsi="Times New Roman" w:cs="Times New Roman"/>
        </w:rPr>
        <w:t>M</w:t>
      </w:r>
      <w:r w:rsidR="00133632" w:rsidRPr="009F2088">
        <w:rPr>
          <w:rFonts w:ascii="Times New Roman" w:hAnsi="Times New Roman" w:cs="Times New Roman"/>
        </w:rPr>
        <w:t xml:space="preserve">; SFM/REDD+, CC provisions). Another objective will be to provide institutional enhancements that will enable </w:t>
      </w:r>
      <w:r w:rsidR="009F2088">
        <w:rPr>
          <w:rFonts w:ascii="Times New Roman" w:hAnsi="Times New Roman" w:cs="Times New Roman"/>
        </w:rPr>
        <w:t xml:space="preserve">the </w:t>
      </w:r>
      <w:r w:rsidR="00133632" w:rsidRPr="009F2088">
        <w:rPr>
          <w:rFonts w:ascii="Times New Roman" w:hAnsi="Times New Roman" w:cs="Times New Roman"/>
        </w:rPr>
        <w:t xml:space="preserve">Government to better conserve and manage BD and ecosystems functions. The project will also facilitate enhancements to legal provisions with respect to </w:t>
      </w:r>
      <w:r w:rsidR="00510712">
        <w:rPr>
          <w:rFonts w:ascii="Times New Roman" w:hAnsi="Times New Roman" w:cs="Times New Roman"/>
        </w:rPr>
        <w:t xml:space="preserve">the current Act governing </w:t>
      </w:r>
      <w:r w:rsidR="00133632" w:rsidRPr="009F2088">
        <w:rPr>
          <w:rFonts w:ascii="Times New Roman" w:hAnsi="Times New Roman" w:cs="Times New Roman"/>
        </w:rPr>
        <w:t xml:space="preserve">Marine Protected Areas and their application as instruments for the management and conservation of BD and ecosystems functions in Grenada. </w:t>
      </w:r>
    </w:p>
    <w:p w14:paraId="5C965A0B" w:rsidR="00A9248D" w:rsidRDefault="00A9248D">
      <w:pPr>
        <w:rPr>
          <w:rFonts w:asciiTheme="majorHAnsi" w:eastAsiaTheme="majorEastAsia" w:hAnsiTheme="majorHAnsi" w:cstheme="majorBidi"/>
          <w:b/>
          <w:bCs/>
          <w:sz w:val="26"/>
          <w:szCs w:val="26"/>
        </w:rPr>
      </w:pPr>
      <w:r>
        <w:br w:type="page"/>
      </w:r>
    </w:p>
    <w:p w14:paraId="44A3423E" w:rsidR="00133632" w:rsidRDefault="001703CC" w:rsidP="009C3E04">
      <w:pPr>
        <w:pStyle w:val="Heading2"/>
      </w:pPr>
      <w:bookmarkStart w:id="10" w:name="_Toc389820954"/>
      <w:r w:rsidRPr="001703CC">
        <w:t>Part I B Baseline Analysis</w:t>
      </w:r>
      <w:bookmarkEnd w:id="10"/>
    </w:p>
    <w:p w14:paraId="48D43F6D" w:rsidR="00226182" w:rsidRPr="00226182" w:rsidRDefault="006C24E2" w:rsidP="009C3E04">
      <w:pPr>
        <w:pStyle w:val="Heading3"/>
      </w:pPr>
      <w:bookmarkStart w:id="11" w:name="_Toc389820955"/>
      <w:r>
        <w:t xml:space="preserve">1.B.1. </w:t>
      </w:r>
      <w:r w:rsidR="001703CC" w:rsidRPr="00226182">
        <w:t>Threats to Biodiversity</w:t>
      </w:r>
      <w:r w:rsidR="00EA0BDC">
        <w:t xml:space="preserve"> &amp; Ecosystem Services</w:t>
      </w:r>
      <w:r w:rsidR="005E4D7F" w:rsidRPr="00226182">
        <w:t>:</w:t>
      </w:r>
      <w:bookmarkEnd w:id="11"/>
      <w:r w:rsidR="00133632" w:rsidRPr="00226182">
        <w:t xml:space="preserve"> </w:t>
      </w:r>
    </w:p>
    <w:p w14:paraId="6F244532" w:rsidR="00EA0BDC" w:rsidRPr="004A3EE8" w:rsidRDefault="00E4157D" w:rsidP="00CA416F">
      <w:pPr>
        <w:pStyle w:val="ListParagraph"/>
        <w:numPr>
          <w:ilvl w:val="0"/>
          <w:numId w:val="27"/>
        </w:numPr>
        <w:spacing w:after="240" w:line="240" w:lineRule="auto"/>
        <w:ind w:left="0" w:firstLine="0"/>
        <w:contextualSpacing w:val="0"/>
        <w:jc w:val="both"/>
        <w:rPr>
          <w:rFonts w:ascii="Times New Roman" w:eastAsia="Times New Roman" w:hAnsi="Times New Roman" w:cs="Times New Roman"/>
        </w:rPr>
      </w:pPr>
      <w:r w:rsidRPr="004A3EE8">
        <w:rPr>
          <w:rFonts w:ascii="Times New Roman" w:hAnsi="Times New Roman" w:cs="Times New Roman"/>
        </w:rPr>
        <w:t xml:space="preserve">The threats to BD </w:t>
      </w:r>
      <w:r>
        <w:rPr>
          <w:rFonts w:ascii="Times New Roman" w:hAnsi="Times New Roman" w:cs="Times New Roman"/>
        </w:rPr>
        <w:t xml:space="preserve">and ecosystem services </w:t>
      </w:r>
      <w:r w:rsidRPr="004A3EE8">
        <w:rPr>
          <w:rFonts w:ascii="Times New Roman" w:hAnsi="Times New Roman" w:cs="Times New Roman"/>
        </w:rPr>
        <w:t>in both terrestrial landscapes and marine seascapes are characteristic of small volcanic islands with steep hillsides and Marine Island shelves adjacent to the deep of the ocean.  Threats include:  loss of indigenous forms, degradation of ecosystems, fragmentation of habitats, overexploitation</w:t>
      </w:r>
      <w:r w:rsidRPr="00DC4545">
        <w:rPr>
          <w:rFonts w:ascii="Times New Roman" w:hAnsi="Times New Roman" w:cs="Times New Roman"/>
        </w:rPr>
        <w:t xml:space="preserve"> of terrestrial wildlife, over-exploitation of marine stocks and habitat, forest fires, </w:t>
      </w:r>
      <w:r>
        <w:rPr>
          <w:rFonts w:ascii="Times New Roman" w:hAnsi="Times New Roman" w:cs="Times New Roman"/>
        </w:rPr>
        <w:t xml:space="preserve">and </w:t>
      </w:r>
      <w:r w:rsidRPr="00DC4545">
        <w:rPr>
          <w:rFonts w:ascii="Times New Roman" w:hAnsi="Times New Roman" w:cs="Times New Roman"/>
        </w:rPr>
        <w:t>multiple climate change impacts</w:t>
      </w:r>
      <w:r>
        <w:rPr>
          <w:rFonts w:ascii="Times New Roman" w:hAnsi="Times New Roman" w:cs="Times New Roman"/>
        </w:rPr>
        <w:t>,</w:t>
      </w:r>
      <w:r w:rsidRPr="00DC4545">
        <w:rPr>
          <w:rFonts w:ascii="Times New Roman" w:hAnsi="Times New Roman" w:cs="Times New Roman"/>
        </w:rPr>
        <w:t xml:space="preserve"> including variat</w:t>
      </w:r>
      <w:r>
        <w:rPr>
          <w:rFonts w:ascii="Times New Roman" w:hAnsi="Times New Roman" w:cs="Times New Roman"/>
        </w:rPr>
        <w:t>ion in seasonal marine and land-</w:t>
      </w:r>
      <w:r w:rsidRPr="00DC4545">
        <w:rPr>
          <w:rFonts w:ascii="Times New Roman" w:hAnsi="Times New Roman" w:cs="Times New Roman"/>
        </w:rPr>
        <w:t>based water quality.</w:t>
      </w:r>
      <w:r>
        <w:rPr>
          <w:rFonts w:ascii="Times New Roman" w:hAnsi="Times New Roman" w:cs="Times New Roman"/>
        </w:rPr>
        <w:t xml:space="preserve"> </w:t>
      </w:r>
      <w:r w:rsidRPr="00383510">
        <w:rPr>
          <w:rFonts w:ascii="Times New Roman" w:hAnsi="Times New Roman" w:cs="Times New Roman"/>
        </w:rPr>
        <w:t>These threats and their underlying root causes</w:t>
      </w:r>
      <w:r w:rsidR="00E32F64">
        <w:rPr>
          <w:rFonts w:ascii="Times New Roman" w:hAnsi="Times New Roman" w:cs="Times New Roman"/>
        </w:rPr>
        <w:t>/drivers</w:t>
      </w:r>
      <w:r w:rsidRPr="00383510">
        <w:rPr>
          <w:rFonts w:ascii="Times New Roman" w:hAnsi="Times New Roman" w:cs="Times New Roman"/>
        </w:rPr>
        <w:t xml:space="preserve"> are elaborated </w:t>
      </w:r>
      <w:r>
        <w:rPr>
          <w:rFonts w:ascii="Times New Roman" w:hAnsi="Times New Roman" w:cs="Times New Roman"/>
        </w:rPr>
        <w:t>as</w:t>
      </w:r>
      <w:r w:rsidRPr="00383510">
        <w:rPr>
          <w:rFonts w:ascii="Times New Roman" w:hAnsi="Times New Roman" w:cs="Times New Roman"/>
        </w:rPr>
        <w:t xml:space="preserve"> following</w:t>
      </w:r>
      <w:r w:rsidR="00EA0BDC" w:rsidRPr="00EA0BDC">
        <w:rPr>
          <w:rFonts w:ascii="Times New Roman" w:hAnsi="Times New Roman" w:eastAsia="Times New Roman" w:cs="Times New Roman"/>
          <w:lang w:val="en-GB"/>
        </w:rPr>
        <w:t>:</w:t>
      </w:r>
    </w:p>
    <w:p w14:paraId="5C58C8C6" w:rsidR="00EA0BDC" w:rsidRPr="004A3EE8" w:rsidRDefault="00EA0BDC" w:rsidP="00CA416F">
      <w:pPr>
        <w:numPr>
          <w:ilvl w:val="0"/>
          <w:numId w:val="66"/>
        </w:num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u w:val="single"/>
        </w:rPr>
        <w:t>Habitat Destruction / Fragmentation:</w:t>
      </w:r>
      <w:r w:rsidRPr="004A3EE8">
        <w:rPr>
          <w:rFonts w:ascii="Times New Roman" w:hAnsi="Times New Roman" w:eastAsia="Times New Roman" w:cs="Times New Roman"/>
        </w:rPr>
        <w:t xml:space="preserve"> </w:t>
      </w:r>
      <w:r w:rsidRPr="00EA0BDC">
        <w:rPr>
          <w:rFonts w:ascii="Times New Roman" w:hAnsi="Times New Roman" w:eastAsia="Times New Roman" w:cs="Times New Roman"/>
        </w:rPr>
        <w:t>Forest ecosystems, which are primarily found in high elevations where most of Grenada’s</w:t>
      </w:r>
      <w:r w:rsidRPr="004A3EE8">
        <w:rPr>
          <w:rFonts w:ascii="Times New Roman" w:hAnsi="Times New Roman" w:eastAsia="Times New Roman" w:cs="Times New Roman"/>
        </w:rPr>
        <w:t xml:space="preserve"> </w:t>
      </w:r>
      <w:r w:rsidRPr="00EA0BDC">
        <w:rPr>
          <w:rFonts w:ascii="Times New Roman" w:hAnsi="Times New Roman" w:eastAsia="Times New Roman" w:cs="Times New Roman"/>
        </w:rPr>
        <w:t xml:space="preserve">terrestrial PAs are located, are threatened by fragmentation and destruction of habitat.  The most important ongoing threat is encroachment from expanding agriculture and human settlements, particularly on privately owned forested lands, where there are few controls, but also on the edges of PAs. Other significant threats are slash and burn agriculture and invasive species (bamboo) encroaching into native forests.  </w:t>
      </w:r>
      <w:r w:rsidR="009746EB" w:rsidRPr="00982B00">
        <w:rPr>
          <w:rFonts w:ascii="Times New Roman" w:hAnsi="Times New Roman" w:cs="Times New Roman"/>
        </w:rPr>
        <w:t>There is evidence that due to changing land use from declines in tree crop agriculture and with the “outing” of banana cultivation on a large scale in recent times, some increases in dry and mountain forest (bush) have been observed</w:t>
      </w:r>
      <w:r w:rsidR="009746EB">
        <w:rPr>
          <w:rStyle w:val="FootnoteReference"/>
          <w:rFonts w:ascii="Times New Roman" w:hAnsi="Times New Roman" w:cs="Times New Roman"/>
        </w:rPr>
        <w:footnoteReference w:id="7"/>
      </w:r>
      <w:r w:rsidR="009746EB" w:rsidRPr="00982B00">
        <w:rPr>
          <w:rFonts w:ascii="Times New Roman" w:hAnsi="Times New Roman" w:cs="Times New Roman"/>
        </w:rPr>
        <w:t xml:space="preserve">. There are, however, notable threats to middle altitude forested landscapes due to annual forest fires, destabilization of land due to hurricane impacts and encroachments of housing, and “slash and burn” farming practices. </w:t>
      </w:r>
      <w:r w:rsidRPr="00EA0BDC">
        <w:rPr>
          <w:rFonts w:ascii="Times New Roman" w:hAnsi="Times New Roman" w:eastAsia="Times New Roman" w:cs="Times New Roman"/>
        </w:rPr>
        <w:t>Burning of agricultural waste and setting of fires to clear land also pose a threat to forest ecosystems, including the edges of protected areas; in 2009-2010, approx</w:t>
      </w:r>
      <w:r w:rsidRPr="004A3EE8">
        <w:rPr>
          <w:rFonts w:ascii="Times New Roman" w:hAnsi="Times New Roman" w:eastAsia="Times New Roman" w:cs="Times New Roman"/>
        </w:rPr>
        <w:t>imately</w:t>
      </w:r>
      <w:r w:rsidRPr="00EA0BDC">
        <w:rPr>
          <w:rFonts w:ascii="Times New Roman" w:hAnsi="Times New Roman" w:eastAsia="Times New Roman" w:cs="Times New Roman"/>
        </w:rPr>
        <w:t xml:space="preserve"> 30% of the Beausejour watershed was destroyed by fire. In the past,</w:t>
      </w:r>
      <w:r w:rsidRPr="004A3EE8">
        <w:rPr>
          <w:rFonts w:ascii="Times New Roman" w:hAnsi="Times New Roman" w:eastAsia="Times New Roman" w:cs="Times New Roman"/>
        </w:rPr>
        <w:t xml:space="preserve"> </w:t>
      </w:r>
      <w:r w:rsidRPr="00EA0BDC">
        <w:rPr>
          <w:rFonts w:ascii="Times New Roman" w:hAnsi="Times New Roman" w:eastAsia="Times New Roman" w:cs="Times New Roman"/>
        </w:rPr>
        <w:t>natural forest regeneration kept pace with the effects of encroachment, fire, and other pressures, but current rates of deforestation and fragmentation threaten the existence of species such as the Grenada Dove, the Grenada hook-billed kite</w:t>
      </w:r>
      <w:r w:rsidR="004A3EE8">
        <w:rPr>
          <w:rFonts w:ascii="Times New Roman" w:hAnsi="Times New Roman" w:eastAsia="Times New Roman" w:cs="Times New Roman"/>
        </w:rPr>
        <w:t>,</w:t>
      </w:r>
      <w:r w:rsidRPr="00EA0BDC">
        <w:rPr>
          <w:rFonts w:ascii="Times New Roman" w:hAnsi="Times New Roman" w:eastAsia="Times New Roman" w:cs="Times New Roman"/>
        </w:rPr>
        <w:t xml:space="preserve"> and the iguana.  </w:t>
      </w:r>
    </w:p>
    <w:p w14:paraId="45774BFF" w:rsidR="007C359E" w:rsidRPr="004A3EE8" w:rsidRDefault="007C359E" w:rsidP="007C359E">
      <w:pPr>
        <w:tabs>
          <w:tab w:val="left" w:pos="0"/>
        </w:tabs>
        <w:spacing w:after="0" w:line="240" w:lineRule="auto"/>
        <w:ind w:left="540"/>
        <w:jc w:val="both"/>
        <w:rPr>
          <w:rFonts w:ascii="Times New Roman" w:eastAsia="Times New Roman" w:hAnsi="Times New Roman" w:cs="Times New Roman"/>
        </w:rPr>
      </w:pPr>
    </w:p>
    <w:p w14:paraId="3413E8DA" w:rsidR="002F153C" w:rsidRPr="002F153C" w:rsidRDefault="002F153C" w:rsidP="002F153C">
      <w:pPr>
        <w:spacing w:after="240" w:line="240" w:lineRule="auto"/>
        <w:ind w:left="540"/>
        <w:jc w:val="both"/>
        <w:rPr>
          <w:rFonts w:ascii="Times New Roman" w:hAnsi="Times New Roman" w:cs="Times New Roman"/>
        </w:rPr>
      </w:pPr>
      <w:r w:rsidRPr="002F153C">
        <w:rPr>
          <w:rFonts w:ascii="Times New Roman" w:hAnsi="Times New Roman" w:cs="Times New Roman"/>
        </w:rPr>
        <w:t xml:space="preserve">The historical causes of loss in forest cover in Grenada relate to both natural and human threats; some natural threats coupled with human practices while some human practices are driven by compelling socio-economic contingencies reflected in unsustainable forest, land and sea management activities.  The main causes include: expansion of agriculture and urban development, forest fires, subsistence logging and firewood sequestration, forest pests, and natural disasters, such as hurricanes.  The drivers of deforestation in the Grenada jurisdiction as a whole, as well as in the pilot area of Beausejour, are: (i) structural drivers; (ii) direct drivers, and; (iii) indirect drivers. </w:t>
      </w:r>
    </w:p>
    <w:p w14:paraId="0C263BA8" w:rsidR="002F153C" w:rsidRPr="002F153C" w:rsidRDefault="002F153C" w:rsidP="002F153C">
      <w:pPr>
        <w:spacing w:after="240" w:line="240" w:lineRule="auto"/>
        <w:ind w:left="540"/>
        <w:jc w:val="both"/>
        <w:rPr>
          <w:rFonts w:ascii="Times New Roman" w:hAnsi="Times New Roman" w:cs="Times New Roman"/>
        </w:rPr>
      </w:pPr>
      <w:r w:rsidRPr="002F153C">
        <w:rPr>
          <w:rFonts w:ascii="Times New Roman" w:hAnsi="Times New Roman" w:cs="Times New Roman"/>
        </w:rPr>
        <w:t xml:space="preserve">The main </w:t>
      </w:r>
      <w:r w:rsidRPr="002F153C">
        <w:rPr>
          <w:rFonts w:ascii="Times New Roman" w:hAnsi="Times New Roman" w:cs="Times New Roman"/>
          <w:b/>
          <w:i/>
        </w:rPr>
        <w:t xml:space="preserve">structural drivers </w:t>
      </w:r>
      <w:r w:rsidRPr="002F153C">
        <w:rPr>
          <w:rFonts w:ascii="Times New Roman" w:hAnsi="Times New Roman" w:cs="Times New Roman"/>
        </w:rPr>
        <w:t>of deforestation relate to the high demand for land for agricultural crop farming, until 50 years ago, followed by the fragmentation of the historical “Agricultural estates” and the complexity in property rights created by this land fragmentation.  Currently, 85% of the lands are privately owned with few land reserves and with a virtual dual land development control regime; one for the urban area, and other for the agricultural and high altitude forested areas.  The strong policies that used incentives to promote small-holdings, multi-crop agriculture in the rural areas as a counter measure to replace the dominance of “Agricultural estates” allowed for this wide spread fragmentation of lands, encroachment into steeper landscapes, and scattered semi-subsistence farm holdings in the rural areas where the semi-evergreen and mountain forests existed.  Urban expansion allowed for systematic land clearance for housing or for crop farming of stocks such as lowland cocoa, sugarcane and cash crops.  Furthermore, the emphasis of land development control in the urban areas has been for Monitor Control and Surveillance (MCS) of building standards and compliance control measures, rather than application of strategic land use controls in urban areas.  In short the rural land development regime has historically produced land fragmentation, multi-cropping and multiple incentives for agriculture; the urban land control and development regime has been an emphasis of building standards.  Land use zoning continues to be challenging strategy to pursue.</w:t>
      </w:r>
    </w:p>
    <w:p w14:paraId="23821B30" w:rsidR="002F153C" w:rsidRPr="002F153C" w:rsidRDefault="002F153C" w:rsidP="002F153C">
      <w:pPr>
        <w:spacing w:after="240" w:line="240" w:lineRule="auto"/>
        <w:ind w:left="540"/>
        <w:jc w:val="both"/>
        <w:rPr>
          <w:rFonts w:ascii="Times New Roman" w:hAnsi="Times New Roman" w:cs="Times New Roman"/>
        </w:rPr>
      </w:pPr>
      <w:r w:rsidRPr="002F153C">
        <w:rPr>
          <w:rFonts w:ascii="Times New Roman" w:hAnsi="Times New Roman" w:cs="Times New Roman"/>
        </w:rPr>
        <w:t xml:space="preserve">The </w:t>
      </w:r>
      <w:r w:rsidRPr="002F153C">
        <w:rPr>
          <w:rFonts w:ascii="Times New Roman" w:hAnsi="Times New Roman" w:cs="Times New Roman"/>
          <w:b/>
          <w:i/>
        </w:rPr>
        <w:t xml:space="preserve">direct drivers </w:t>
      </w:r>
      <w:r w:rsidRPr="002F153C">
        <w:rPr>
          <w:rFonts w:ascii="Times New Roman" w:hAnsi="Times New Roman" w:cs="Times New Roman"/>
        </w:rPr>
        <w:t>of deforestation in Grenada include: (a) “Change-of-use” of land where, during various periods in the evolution of rural agriculture, the focus was on crops such as tobacco and sugarcane in the lower altitudes, cocoa and nutmegs in higher landscapes, citruses and other exotic fruits, bananas, etc.  Each to a greater or lesser extent encroached on the upper forested landscapes, with little abandonment of lands, and little natural regeneration of forests when crop preferences changed. (b) Coupled with change of use of land, especially in the dry land forested areas on the lower altitudes, consumption of dry woods for firewood was significant since “coals” from fire wood had and still have a vibrant market in rural areas. (c) Within the last 10 years, lowlands and high woods fires have been very significant as a threat to forest cover.  Forest fires on the south-west, west and eastern landscapes have been severe, extensive and lasting for days and weeks covering several watersheds and local areas (Villages).  These fires have been exacerbated by severe dry spells and apparently by the detachment that villagers now show for “outing” fires on their neighbor’s landholdings.  Annual fires in some locations have served to debilitate the capacity</w:t>
      </w:r>
      <w:r w:rsidR="00E32F64">
        <w:rPr>
          <w:rFonts w:ascii="Times New Roman" w:hAnsi="Times New Roman" w:cs="Times New Roman"/>
        </w:rPr>
        <w:t xml:space="preserve"> </w:t>
      </w:r>
      <w:r w:rsidRPr="002F153C">
        <w:rPr>
          <w:rFonts w:ascii="Times New Roman" w:hAnsi="Times New Roman" w:cs="Times New Roman"/>
        </w:rPr>
        <w:t>of the landscapes to regenerate forest cover. (d) Disease and pests have contributed also to the weakening of certain forest stocks on both the Highwood’s species and the Lower Mountain and dry forest.  Notably, the pink mealy-bug caused significant damage to the vibrancy of the forest cover during 1994-97, with a particularly strong impact on the Grand Etang forest reserve.</w:t>
      </w:r>
    </w:p>
    <w:p w14:paraId="7626E9B6" w:rsidR="002F153C" w:rsidRDefault="002F153C" w:rsidP="002F153C">
      <w:pPr>
        <w:tabs>
          <w:tab w:val="left" w:pos="0"/>
        </w:tabs>
        <w:spacing w:after="0" w:line="240" w:lineRule="auto"/>
        <w:ind w:left="540"/>
        <w:jc w:val="both"/>
        <w:rPr>
          <w:rFonts w:ascii="Times New Roman" w:eastAsia="Times New Roman" w:hAnsi="Times New Roman" w:cs="Times New Roman"/>
        </w:rPr>
      </w:pPr>
      <w:r w:rsidRPr="00DC4545">
        <w:rPr>
          <w:rFonts w:ascii="Times New Roman" w:hAnsi="Times New Roman" w:cs="Times New Roman"/>
        </w:rPr>
        <w:t xml:space="preserve">The </w:t>
      </w:r>
      <w:r w:rsidRPr="00D066DD">
        <w:rPr>
          <w:rFonts w:ascii="Times New Roman" w:hAnsi="Times New Roman" w:cs="Times New Roman"/>
          <w:b/>
          <w:i/>
        </w:rPr>
        <w:t>indirect drivers</w:t>
      </w:r>
      <w:r w:rsidRPr="00DC4545">
        <w:rPr>
          <w:rFonts w:ascii="Times New Roman" w:hAnsi="Times New Roman" w:cs="Times New Roman"/>
        </w:rPr>
        <w:t xml:space="preserve"> of deforestation include</w:t>
      </w:r>
      <w:r>
        <w:rPr>
          <w:rFonts w:ascii="Times New Roman" w:hAnsi="Times New Roman" w:cs="Times New Roman"/>
        </w:rPr>
        <w:t>:</w:t>
      </w:r>
      <w:r w:rsidRPr="00DC4545">
        <w:rPr>
          <w:rFonts w:ascii="Times New Roman" w:hAnsi="Times New Roman" w:cs="Times New Roman"/>
        </w:rPr>
        <w:t xml:space="preserve"> (a) </w:t>
      </w:r>
      <w:r>
        <w:rPr>
          <w:rFonts w:ascii="Times New Roman" w:hAnsi="Times New Roman" w:cs="Times New Roman"/>
        </w:rPr>
        <w:t>H</w:t>
      </w:r>
      <w:r w:rsidRPr="00DC4545">
        <w:rPr>
          <w:rFonts w:ascii="Times New Roman" w:hAnsi="Times New Roman" w:cs="Times New Roman"/>
        </w:rPr>
        <w:t>igh unemployment (formal and informal) in rural areas</w:t>
      </w:r>
      <w:r>
        <w:rPr>
          <w:rFonts w:ascii="Times New Roman" w:hAnsi="Times New Roman" w:cs="Times New Roman"/>
        </w:rPr>
        <w:t>;</w:t>
      </w:r>
      <w:r w:rsidRPr="00DC4545">
        <w:rPr>
          <w:rFonts w:ascii="Times New Roman" w:hAnsi="Times New Roman" w:cs="Times New Roman"/>
        </w:rPr>
        <w:t xml:space="preserve"> poverty and lack of employment alternatives force </w:t>
      </w:r>
      <w:r>
        <w:rPr>
          <w:rFonts w:ascii="Times New Roman" w:hAnsi="Times New Roman" w:cs="Times New Roman"/>
        </w:rPr>
        <w:t>people</w:t>
      </w:r>
      <w:r w:rsidRPr="00DC4545">
        <w:rPr>
          <w:rFonts w:ascii="Times New Roman" w:hAnsi="Times New Roman" w:cs="Times New Roman"/>
        </w:rPr>
        <w:t xml:space="preserve"> to clear high woods on private lands and on state lands </w:t>
      </w:r>
      <w:r>
        <w:rPr>
          <w:rFonts w:ascii="Times New Roman" w:hAnsi="Times New Roman" w:cs="Times New Roman"/>
        </w:rPr>
        <w:t>considered to be</w:t>
      </w:r>
      <w:r w:rsidRPr="00DC4545">
        <w:rPr>
          <w:rFonts w:ascii="Times New Roman" w:hAnsi="Times New Roman" w:cs="Times New Roman"/>
        </w:rPr>
        <w:t xml:space="preserve"> Common Property. (b) </w:t>
      </w:r>
      <w:r>
        <w:rPr>
          <w:rFonts w:ascii="Times New Roman" w:hAnsi="Times New Roman" w:cs="Times New Roman"/>
        </w:rPr>
        <w:t>I</w:t>
      </w:r>
      <w:r w:rsidRPr="00DC4545">
        <w:rPr>
          <w:rFonts w:ascii="Times New Roman" w:hAnsi="Times New Roman" w:cs="Times New Roman"/>
        </w:rPr>
        <w:t>nstitu</w:t>
      </w:r>
      <w:r>
        <w:rPr>
          <w:rFonts w:ascii="Times New Roman" w:hAnsi="Times New Roman" w:cs="Times New Roman"/>
        </w:rPr>
        <w:t xml:space="preserve">tional weaknesses in monitoring, </w:t>
      </w:r>
      <w:r w:rsidRPr="00DC4545">
        <w:rPr>
          <w:rFonts w:ascii="Times New Roman" w:hAnsi="Times New Roman" w:cs="Times New Roman"/>
        </w:rPr>
        <w:t xml:space="preserve">control and surveillance.  </w:t>
      </w:r>
      <w:r>
        <w:rPr>
          <w:rFonts w:ascii="Times New Roman" w:hAnsi="Times New Roman" w:cs="Times New Roman"/>
        </w:rPr>
        <w:t>F</w:t>
      </w:r>
      <w:r w:rsidRPr="00DC4545">
        <w:rPr>
          <w:rFonts w:ascii="Times New Roman" w:hAnsi="Times New Roman" w:cs="Times New Roman"/>
        </w:rPr>
        <w:t xml:space="preserve">orest rangers employed by </w:t>
      </w:r>
      <w:r>
        <w:rPr>
          <w:rFonts w:ascii="Times New Roman" w:hAnsi="Times New Roman" w:cs="Times New Roman"/>
        </w:rPr>
        <w:t xml:space="preserve">the </w:t>
      </w:r>
      <w:r w:rsidRPr="00DC4545">
        <w:rPr>
          <w:rFonts w:ascii="Times New Roman" w:hAnsi="Times New Roman" w:cs="Times New Roman"/>
        </w:rPr>
        <w:t>government focus on the crown lands fo</w:t>
      </w:r>
      <w:r>
        <w:rPr>
          <w:rFonts w:ascii="Times New Roman" w:hAnsi="Times New Roman" w:cs="Times New Roman"/>
        </w:rPr>
        <w:t xml:space="preserve">r monitoring threats to forests, but </w:t>
      </w:r>
      <w:r w:rsidRPr="00DC4545">
        <w:rPr>
          <w:rFonts w:ascii="Times New Roman" w:hAnsi="Times New Roman" w:cs="Times New Roman"/>
        </w:rPr>
        <w:t xml:space="preserve">there are only a few such rangers; the few rangers that concentrate their monitoring efforts for government/Crown lands have little time for MCS </w:t>
      </w:r>
      <w:r>
        <w:rPr>
          <w:rFonts w:ascii="Times New Roman" w:hAnsi="Times New Roman" w:cs="Times New Roman"/>
        </w:rPr>
        <w:t>on</w:t>
      </w:r>
      <w:r w:rsidRPr="00DC4545">
        <w:rPr>
          <w:rFonts w:ascii="Times New Roman" w:hAnsi="Times New Roman" w:cs="Times New Roman"/>
        </w:rPr>
        <w:t xml:space="preserve"> private lands. Private forests receive considerably less attention even </w:t>
      </w:r>
      <w:r>
        <w:rPr>
          <w:rFonts w:ascii="Times New Roman" w:hAnsi="Times New Roman" w:cs="Times New Roman"/>
        </w:rPr>
        <w:t>though</w:t>
      </w:r>
      <w:r w:rsidRPr="00DC4545">
        <w:rPr>
          <w:rFonts w:ascii="Times New Roman" w:hAnsi="Times New Roman" w:cs="Times New Roman"/>
        </w:rPr>
        <w:t xml:space="preserve"> the law provides for compliance controls to be applied as well on private as on crown lands. (c) </w:t>
      </w:r>
      <w:r>
        <w:rPr>
          <w:rFonts w:ascii="Times New Roman" w:hAnsi="Times New Roman" w:cs="Times New Roman"/>
        </w:rPr>
        <w:t>Until recently, p</w:t>
      </w:r>
      <w:r w:rsidRPr="00DC4545">
        <w:rPr>
          <w:rFonts w:ascii="Times New Roman" w:hAnsi="Times New Roman" w:cs="Times New Roman"/>
        </w:rPr>
        <w:t xml:space="preserve">ublic policies </w:t>
      </w:r>
      <w:r>
        <w:rPr>
          <w:rFonts w:ascii="Times New Roman" w:hAnsi="Times New Roman" w:cs="Times New Roman"/>
        </w:rPr>
        <w:t xml:space="preserve">were </w:t>
      </w:r>
      <w:r w:rsidRPr="00DC4545">
        <w:rPr>
          <w:rFonts w:ascii="Times New Roman" w:hAnsi="Times New Roman" w:cs="Times New Roman"/>
        </w:rPr>
        <w:t xml:space="preserve">strongly oriented to the promotion of all forms of agriculture and included incentives and support for tree crops as well as other types of farming and marketing.  These strong support systems allowed for any farmer to adopt any of several crop options and for using any type of rural lands for a livelihood.  These policies </w:t>
      </w:r>
      <w:r>
        <w:rPr>
          <w:rFonts w:ascii="Times New Roman" w:hAnsi="Times New Roman" w:cs="Times New Roman"/>
        </w:rPr>
        <w:t>that encouraged crop farming and</w:t>
      </w:r>
      <w:r w:rsidRPr="00DC4545">
        <w:rPr>
          <w:rFonts w:ascii="Times New Roman" w:hAnsi="Times New Roman" w:cs="Times New Roman"/>
        </w:rPr>
        <w:t xml:space="preserve"> land clea</w:t>
      </w:r>
      <w:r>
        <w:rPr>
          <w:rFonts w:ascii="Times New Roman" w:hAnsi="Times New Roman" w:cs="Times New Roman"/>
        </w:rPr>
        <w:t>rance while taking advantage of</w:t>
      </w:r>
      <w:r w:rsidRPr="00DC4545">
        <w:rPr>
          <w:rFonts w:ascii="Times New Roman" w:hAnsi="Times New Roman" w:cs="Times New Roman"/>
        </w:rPr>
        <w:t xml:space="preserve"> almost any option for increased agricultural production and livelihood, </w:t>
      </w:r>
      <w:r>
        <w:rPr>
          <w:rFonts w:ascii="Times New Roman" w:hAnsi="Times New Roman" w:cs="Times New Roman"/>
        </w:rPr>
        <w:t xml:space="preserve">ultimately </w:t>
      </w:r>
      <w:r w:rsidRPr="00DC4545">
        <w:rPr>
          <w:rFonts w:ascii="Times New Roman" w:hAnsi="Times New Roman" w:cs="Times New Roman"/>
        </w:rPr>
        <w:t>encouraged deforestation.</w:t>
      </w:r>
    </w:p>
    <w:p w14:paraId="0DDCDB64" w:rsidR="002F153C" w:rsidRDefault="002F153C" w:rsidP="00EA0BDC">
      <w:pPr>
        <w:tabs>
          <w:tab w:val="left" w:pos="0"/>
        </w:tabs>
        <w:spacing w:after="0" w:line="240" w:lineRule="auto"/>
        <w:ind w:left="540"/>
        <w:jc w:val="both"/>
        <w:rPr>
          <w:rFonts w:ascii="Times New Roman" w:eastAsia="Times New Roman" w:hAnsi="Times New Roman" w:cs="Times New Roman"/>
        </w:rPr>
      </w:pPr>
    </w:p>
    <w:p w14:paraId="19093444" w:rsidR="002F153C" w:rsidRDefault="00EA0BDC" w:rsidP="00EA0BDC">
      <w:p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rPr>
        <w:t xml:space="preserve">Compounding this are the devastating impacts of hurricanes </w:t>
      </w:r>
      <w:bookmarkStart w:id="12" w:name="_Toc238525675"/>
      <w:bookmarkStart w:id="13" w:name="_Toc238528209"/>
      <w:bookmarkStart w:id="14" w:name="_Toc238529887"/>
      <w:bookmarkStart w:id="15" w:name="_Toc238530775"/>
      <w:bookmarkStart w:id="16" w:name="_Toc238530882"/>
      <w:r w:rsidRPr="00EA0BDC">
        <w:rPr>
          <w:rFonts w:ascii="Times New Roman" w:hAnsi="Times New Roman" w:eastAsia="Times New Roman" w:cs="Times New Roman"/>
        </w:rPr>
        <w:t xml:space="preserve">on forest structure and functioning in Grenada.  </w:t>
      </w:r>
      <w:bookmarkEnd w:id="12"/>
      <w:bookmarkEnd w:id="13"/>
      <w:bookmarkEnd w:id="14"/>
      <w:bookmarkEnd w:id="15"/>
      <w:bookmarkEnd w:id="16"/>
      <w:r w:rsidRPr="00EA0BDC">
        <w:rPr>
          <w:rFonts w:ascii="Times New Roman" w:hAnsi="Times New Roman" w:eastAsia="Times New Roman" w:cs="Times New Roman"/>
        </w:rPr>
        <w:t xml:space="preserve">In just the past 25 years, Hurricane Lenny (1999) destroyed many coastal wetland forests; Hurricane Ivan (2004) devastated forests at the Mt. Hartman and Perseverance protected areas, which were established for the protection of the critically endangered endemic Grenada Dove; and Hurricane Emily (2005) caused significant damage to dams, forest roads, bridges and watercourses and severely impacted forestry and conservation infrastructure and activities. </w:t>
      </w:r>
      <w:r w:rsidR="002F153C" w:rsidRPr="002F153C">
        <w:rPr>
          <w:rFonts w:ascii="Times New Roman" w:hAnsi="Times New Roman" w:eastAsia="Times New Roman" w:cs="Times New Roman"/>
        </w:rPr>
        <w:t xml:space="preserve">The continual loss of habitat, especially in dry forested areas has made several endemic species, such as the Grenada dove, highly threatened.  </w:t>
      </w:r>
    </w:p>
    <w:p w14:paraId="79386746" w:rsidR="002F153C" w:rsidRDefault="002F153C" w:rsidP="00EA0BDC">
      <w:pPr>
        <w:tabs>
          <w:tab w:val="left" w:pos="0"/>
        </w:tabs>
        <w:spacing w:after="0" w:line="240" w:lineRule="auto"/>
        <w:ind w:left="540"/>
        <w:jc w:val="both"/>
        <w:rPr>
          <w:rFonts w:ascii="Times New Roman" w:eastAsia="Times New Roman" w:hAnsi="Times New Roman" w:cs="Times New Roman"/>
        </w:rPr>
      </w:pPr>
    </w:p>
    <w:p w14:paraId="67A7AB8F" w:rsidR="00EA0BDC" w:rsidRPr="00EA0BDC" w:rsidRDefault="00EA0BDC" w:rsidP="00EA0BDC">
      <w:p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rPr>
        <w:t>Grenada’s coastal ecosystems also are threatened with significant habitat destruction, primarily due to the concentration of housing and hotel / commercial development along the coastline.  Mangrove ecosystems in particular have been severely reduced due to tourism development and the building of jetties, although other factors such as harvesting, pollution from solid wastes, pesticides sewage and oil spills, and sand mining have also contributed to mangrove decline.</w:t>
      </w:r>
      <w:r w:rsidR="002F153C" w:rsidRPr="002F153C">
        <w:t xml:space="preserve"> </w:t>
      </w:r>
      <w:r w:rsidR="002F153C" w:rsidRPr="002F153C">
        <w:rPr>
          <w:rFonts w:ascii="Times New Roman" w:hAnsi="Times New Roman" w:eastAsia="Times New Roman" w:cs="Times New Roman"/>
        </w:rPr>
        <w:t>The threat of habitat degradation is mostly seen with the destruction of mangroves, which are significant seasonal refuge for birds, crabs and mammals, such as opossum. Mangroves are also ecological refuge for marine species sharing time on sea grass beds and coral reefs.</w:t>
      </w:r>
      <w:r w:rsidR="002F153C" w:rsidRPr="002F153C">
        <w:t xml:space="preserve"> </w:t>
      </w:r>
    </w:p>
    <w:p w14:paraId="5327E112" w:rsidR="00EA0BDC" w:rsidRPr="004A3EE8" w:rsidRDefault="00EA0BDC" w:rsidP="00EA0BDC">
      <w:pPr>
        <w:tabs>
          <w:tab w:val="left" w:pos="0"/>
        </w:tabs>
        <w:spacing w:after="0" w:line="240" w:lineRule="auto"/>
        <w:ind w:left="540"/>
        <w:jc w:val="both"/>
        <w:rPr>
          <w:rFonts w:ascii="Times New Roman" w:eastAsia="Times New Roman" w:hAnsi="Times New Roman" w:cs="Times New Roman"/>
        </w:rPr>
      </w:pPr>
    </w:p>
    <w:p w14:paraId="1CD64D6E" w:rsidR="00EA0BDC" w:rsidRPr="004A3EE8" w:rsidRDefault="00EA0BDC" w:rsidP="00CA416F">
      <w:pPr>
        <w:numPr>
          <w:ilvl w:val="0"/>
          <w:numId w:val="66"/>
        </w:num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u w:val="single"/>
        </w:rPr>
        <w:t>Degradation of Land and Water Resources and Ecosystem Services:</w:t>
      </w:r>
      <w:r w:rsidRPr="004A3EE8">
        <w:rPr>
          <w:rFonts w:ascii="Times New Roman" w:hAnsi="Times New Roman" w:eastAsia="Times New Roman" w:cs="Times New Roman"/>
        </w:rPr>
        <w:t xml:space="preserve"> </w:t>
      </w:r>
      <w:r w:rsidRPr="00EA0BDC">
        <w:rPr>
          <w:rFonts w:ascii="Times New Roman" w:hAnsi="Times New Roman" w:eastAsia="Times New Roman" w:cs="Times New Roman"/>
        </w:rPr>
        <w:t>Terrestrial and coastal / marine ecosystems in Grenada are subject to numerous sources of degradation.  In the marine environment, the most significant threat to coral reef ecosystems comes from upstream sources of pollution (sewage outflows; animals grazing along rivers), nutrient overload (fertilizers) and sedimentation (construction; erosion from agricultural practic</w:t>
      </w:r>
      <w:r w:rsidR="00E32F64">
        <w:rPr>
          <w:rFonts w:ascii="Times New Roman" w:hAnsi="Times New Roman" w:eastAsia="Times New Roman" w:cs="Times New Roman"/>
        </w:rPr>
        <w:t>es).  Both the Moliniere/</w:t>
      </w:r>
      <w:r w:rsidRPr="00EA0BDC">
        <w:rPr>
          <w:rFonts w:ascii="Times New Roman" w:hAnsi="Times New Roman" w:eastAsia="Times New Roman" w:cs="Times New Roman"/>
        </w:rPr>
        <w:t>Beausejour and Grande Anse MPAs are directly downstream from the Beausejour watershed and severely affected by such activities there.  Sea</w:t>
      </w:r>
      <w:r w:rsidR="00E32F64">
        <w:rPr>
          <w:rFonts w:ascii="Times New Roman" w:hAnsi="Times New Roman" w:eastAsia="Times New Roman" w:cs="Times New Roman"/>
        </w:rPr>
        <w:t xml:space="preserve"> </w:t>
      </w:r>
      <w:r w:rsidRPr="00EA0BDC">
        <w:rPr>
          <w:rFonts w:ascii="Times New Roman" w:hAnsi="Times New Roman" w:eastAsia="Times New Roman" w:cs="Times New Roman"/>
        </w:rPr>
        <w:t xml:space="preserve">grass beds are also degraded from pollution and nutrient loading from land-based sources.  Despite the protective cover provided by forest and agricultural tree crops, soil erosion in Grenada is a significant problem and landslides are frequent following heavy rains and severe weather conditions.  </w:t>
      </w:r>
    </w:p>
    <w:p w14:paraId="1673B22B" w:rsidR="00EA0BDC" w:rsidRPr="004A3EE8" w:rsidRDefault="00EA0BDC" w:rsidP="00EA0BDC">
      <w:pPr>
        <w:tabs>
          <w:tab w:val="left" w:pos="0"/>
        </w:tabs>
        <w:spacing w:after="0" w:line="240" w:lineRule="auto"/>
        <w:ind w:left="540"/>
        <w:jc w:val="both"/>
        <w:rPr>
          <w:rFonts w:ascii="Times New Roman" w:eastAsia="Times New Roman" w:hAnsi="Times New Roman" w:cs="Times New Roman"/>
          <w:lang w:val="en-GB"/>
        </w:rPr>
      </w:pPr>
    </w:p>
    <w:p w14:paraId="29550745" w:rsidR="00EA0BDC" w:rsidRPr="004A3EE8" w:rsidRDefault="00EA0BDC" w:rsidP="00EA0BDC">
      <w:pPr>
        <w:tabs>
          <w:tab w:val="left" w:pos="0"/>
        </w:tabs>
        <w:spacing w:after="0" w:line="240" w:lineRule="auto"/>
        <w:ind w:left="540"/>
        <w:jc w:val="both"/>
        <w:rPr>
          <w:rFonts w:ascii="Times New Roman" w:eastAsia="Times New Roman" w:hAnsi="Times New Roman" w:cs="Times New Roman"/>
          <w:lang w:val="en-GB"/>
        </w:rPr>
      </w:pPr>
      <w:r w:rsidRPr="00EA0BDC">
        <w:rPr>
          <w:rFonts w:ascii="Times New Roman" w:hAnsi="Times New Roman" w:eastAsia="Times New Roman" w:cs="Times New Roman"/>
          <w:lang w:val="en-GB"/>
        </w:rPr>
        <w:t>A variety of agricultural practices in upstream areas are responsible for degradation of coastal / marine ecosystems (coral reefs, mangroves, sea</w:t>
      </w:r>
      <w:r w:rsidR="00E32F64">
        <w:rPr>
          <w:rFonts w:ascii="Times New Roman" w:hAnsi="Times New Roman" w:eastAsia="Times New Roman" w:cs="Times New Roman"/>
          <w:lang w:val="en-GB"/>
        </w:rPr>
        <w:t xml:space="preserve"> </w:t>
      </w:r>
      <w:r w:rsidRPr="00EA0BDC">
        <w:rPr>
          <w:rFonts w:ascii="Times New Roman" w:hAnsi="Times New Roman" w:eastAsia="Times New Roman" w:cs="Times New Roman"/>
          <w:lang w:val="en-GB"/>
        </w:rPr>
        <w:t xml:space="preserve">grass beds), including: sedimentation from clearing of steep slopes for agriculture </w:t>
      </w:r>
      <w:r w:rsidRPr="00EA0BDC">
        <w:rPr>
          <w:rFonts w:ascii="Times New Roman" w:hAnsi="Times New Roman" w:eastAsia="Times New Roman" w:cs="Times New Roman"/>
        </w:rPr>
        <w:t>(over 90% of Grenada’s land area has a slope of 20º and above)</w:t>
      </w:r>
      <w:r w:rsidRPr="00EA0BDC">
        <w:rPr>
          <w:rFonts w:ascii="Times New Roman" w:hAnsi="Times New Roman" w:eastAsia="Times New Roman" w:cs="Times New Roman"/>
          <w:lang w:val="en-GB"/>
        </w:rPr>
        <w:t xml:space="preserve">, the removal of riparian buffers for farming close to riverbanks, and the removal of trees on roadsides; fertilizer use contributing to pollutant loading in runoff following rains; the use of harmful chemicals and pesticides that negatively impact fresh and coastal waters; and the burning of agricultural waste and setting of fires to clear land threaten forest ecosystems, including the edges of protected areas.  </w:t>
      </w:r>
      <w:r w:rsidR="009746EB" w:rsidRPr="009746EB">
        <w:rPr>
          <w:rFonts w:ascii="Times New Roman" w:hAnsi="Times New Roman" w:eastAsia="Times New Roman" w:cs="Times New Roman"/>
          <w:lang w:val="en-GB"/>
        </w:rPr>
        <w:t>The National Water and Sewage Authority (NAWASA), the Competent Authority for the sequestration of potable water from landscapes and for disposal of sewage sequestered from some urban areas</w:t>
      </w:r>
      <w:r w:rsidR="009746EB">
        <w:rPr>
          <w:rFonts w:ascii="Times New Roman" w:hAnsi="Times New Roman" w:eastAsia="Times New Roman" w:cs="Times New Roman"/>
          <w:lang w:val="en-GB"/>
        </w:rPr>
        <w:t>,</w:t>
      </w:r>
      <w:r w:rsidR="009746EB" w:rsidRPr="009746EB">
        <w:rPr>
          <w:rFonts w:ascii="Times New Roman" w:hAnsi="Times New Roman" w:eastAsia="Times New Roman" w:cs="Times New Roman"/>
          <w:lang w:val="en-GB"/>
        </w:rPr>
        <w:t xml:space="preserve"> is challenged to ensure the quality of potable water produced from upper landscapes, while also ensuring that coastal waters are not overloaded by the sewage outfalls on the south coast. The management challenge for Grenada as a small island with no reserve (single use) landscapes is to share ecosystems’ sources of potable water sequestration with the need to farm the landscapes resulting in chemical outfalls of pesticides and fertilizers. This is further exacerbated by the disposal of sewage and mass wasting outfalls in coastal waters that are also used for tourism and recreation purposes. Although pollution in land and marine areas is not now considered as highly threatening, nevertheless the management challenge is for responding in the present in order to forestall future threats that would be highly c</w:t>
      </w:r>
      <w:r w:rsidR="009746EB">
        <w:rPr>
          <w:rFonts w:ascii="Times New Roman" w:hAnsi="Times New Roman" w:eastAsia="Times New Roman" w:cs="Times New Roman"/>
          <w:lang w:val="en-GB"/>
        </w:rPr>
        <w:t>ostly to mitigate in the future</w:t>
      </w:r>
      <w:r w:rsidR="009746EB" w:rsidRPr="009746EB">
        <w:rPr>
          <w:rFonts w:ascii="Times New Roman" w:hAnsi="Times New Roman" w:eastAsia="Times New Roman" w:cs="Times New Roman"/>
          <w:lang w:val="en-GB"/>
        </w:rPr>
        <w:t>.</w:t>
      </w:r>
    </w:p>
    <w:p w14:paraId="09CFDACE" w:rsidR="00EA0BDC" w:rsidRPr="004A3EE8" w:rsidRDefault="00EA0BDC" w:rsidP="00EA0BDC">
      <w:pPr>
        <w:tabs>
          <w:tab w:val="left" w:pos="0"/>
        </w:tabs>
        <w:spacing w:after="0" w:line="240" w:lineRule="auto"/>
        <w:ind w:left="540"/>
        <w:jc w:val="both"/>
        <w:rPr>
          <w:rFonts w:ascii="Times New Roman" w:eastAsia="Times New Roman" w:hAnsi="Times New Roman" w:cs="Times New Roman"/>
          <w:lang w:val="en-GB"/>
        </w:rPr>
      </w:pPr>
    </w:p>
    <w:p w14:paraId="42262B73" w:rsidR="00EA0BDC" w:rsidRPr="004A3EE8" w:rsidRDefault="00EA0BDC" w:rsidP="00EA0BDC">
      <w:pPr>
        <w:spacing w:after="240" w:line="240" w:lineRule="auto"/>
        <w:ind w:left="540"/>
        <w:jc w:val="both"/>
        <w:rPr>
          <w:rFonts w:ascii="Times New Roman" w:hAnsi="Times New Roman" w:cs="Times New Roman"/>
        </w:rPr>
      </w:pPr>
      <w:r w:rsidRPr="004A3EE8">
        <w:rPr>
          <w:rFonts w:ascii="Times New Roman" w:hAnsi="Times New Roman" w:eastAsia="Times New Roman" w:cs="Times New Roman"/>
          <w:lang w:val="en-GB"/>
        </w:rPr>
        <w:t>Uncontrolled grazing, particularly in riparian zones, contributes to the pollution and sedimentation of coastal / marine ecosystems (coral reefs, mangroves, sea</w:t>
      </w:r>
      <w:r w:rsidR="00E32F64">
        <w:rPr>
          <w:rFonts w:ascii="Times New Roman" w:hAnsi="Times New Roman" w:eastAsia="Times New Roman" w:cs="Times New Roman"/>
          <w:lang w:val="en-GB"/>
        </w:rPr>
        <w:t xml:space="preserve"> </w:t>
      </w:r>
      <w:r w:rsidRPr="004A3EE8">
        <w:rPr>
          <w:rFonts w:ascii="Times New Roman" w:hAnsi="Times New Roman" w:eastAsia="Times New Roman" w:cs="Times New Roman"/>
          <w:lang w:val="en-GB"/>
        </w:rPr>
        <w:t xml:space="preserve">grass beds). </w:t>
      </w:r>
      <w:r w:rsidRPr="004A3EE8">
        <w:rPr>
          <w:rFonts w:ascii="Times New Roman" w:hAnsi="Times New Roman" w:eastAsia="Times New Roman" w:cs="Times New Roman"/>
        </w:rPr>
        <w:t xml:space="preserve">Some of these practices, especially the planting of crops and grazing of animals on steep slopes, also have negative impacts on forest ecosystem health. </w:t>
      </w:r>
      <w:r w:rsidRPr="004A3EE8">
        <w:rPr>
          <w:rFonts w:ascii="Times New Roman" w:hAnsi="Times New Roman" w:cs="Times New Roman"/>
        </w:rPr>
        <w:t xml:space="preserve">For example, in Carriacou, the largest out-island of Grenada, a major obstacle to the regeneration of natural vegetation, in addition to the conversion of land for development, is the effect of grazing by livestock. Many animals are tethered or allowed to roam freely in forest or scrub land (either private or public) and to graze, which prevents regeneration of trees and shrubs, since many seedlings or young plants are eaten. Grasses, sedges and unpalatable plants seem to dominate the ground cover in favorable conditions. Where grazing is intense, particularly in the dry season, soil erosion becomes more severe. </w:t>
      </w:r>
    </w:p>
    <w:p w14:paraId="24DF482A" w:rsidR="00EA0BDC" w:rsidRPr="004A3EE8" w:rsidRDefault="00EA0BDC" w:rsidP="00EA0BDC">
      <w:p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rPr>
        <w:t>Finally, indiscriminate mining and quarrying activity impacts both coastal ecosystems (sand mining, which was recently banned for construction purposes) and forest ecosystems (in higher elevation zones where overburden and spoil material is not contained and immobilized, so that runoff contributes to siltation of adjacent waterways and eventual pollution of near-shore waters.</w:t>
      </w:r>
    </w:p>
    <w:p w14:paraId="051C00FB" w:rsidR="00EA0BDC" w:rsidRPr="00EA0BDC" w:rsidRDefault="00EA0BDC" w:rsidP="00EA0BDC">
      <w:pPr>
        <w:tabs>
          <w:tab w:val="left" w:pos="0"/>
        </w:tabs>
        <w:spacing w:after="0" w:line="240" w:lineRule="auto"/>
        <w:ind w:left="540"/>
        <w:jc w:val="both"/>
        <w:rPr>
          <w:rFonts w:ascii="Times New Roman" w:eastAsia="Times New Roman" w:hAnsi="Times New Roman" w:cs="Times New Roman"/>
        </w:rPr>
      </w:pPr>
    </w:p>
    <w:p w14:paraId="521175A8" w:rsidR="004A3EE8" w:rsidRPr="00E32F64" w:rsidRDefault="00EA0BDC" w:rsidP="00CA416F">
      <w:pPr>
        <w:pStyle w:val="ListParagraph"/>
        <w:numPr>
          <w:ilvl w:val="0"/>
          <w:numId w:val="66"/>
        </w:numPr>
        <w:spacing w:after="240" w:line="240" w:lineRule="auto"/>
        <w:ind w:left="540"/>
        <w:jc w:val="both"/>
        <w:rPr>
          <w:rFonts w:ascii="Times New Roman" w:hAnsi="Times New Roman" w:cs="Times New Roman"/>
        </w:rPr>
      </w:pPr>
      <w:r w:rsidRPr="00E32F64">
        <w:rPr>
          <w:rFonts w:ascii="Times New Roman" w:hAnsi="Times New Roman" w:eastAsia="Times New Roman" w:cs="Times New Roman"/>
          <w:u w:val="single"/>
        </w:rPr>
        <w:t>Overexploitation of Biological Resources:</w:t>
      </w:r>
      <w:r w:rsidRPr="00E32F64">
        <w:rPr>
          <w:rFonts w:ascii="Times New Roman" w:hAnsi="Times New Roman" w:eastAsia="Times New Roman" w:cs="Times New Roman"/>
        </w:rPr>
        <w:t xml:space="preserve"> In </w:t>
      </w:r>
      <w:r w:rsidRPr="00E32F64">
        <w:rPr>
          <w:rFonts w:ascii="Times New Roman" w:hAnsi="Times New Roman" w:cs="Times New Roman"/>
        </w:rPr>
        <w:t xml:space="preserve">the marine environment, there is some overexploitation of commercial fish species, as well as illegal fishing in contravention of closed seasons / areas and gear restrictions, but these have had a relatively minor impact to date on marine species.  </w:t>
      </w:r>
      <w:r w:rsidR="004A3EE8" w:rsidRPr="00E32F64">
        <w:rPr>
          <w:rFonts w:ascii="Times New Roman" w:hAnsi="Times New Roman" w:cs="Times New Roman"/>
        </w:rPr>
        <w:t>Although a significant segment of the national fishery remains semi-subsistence and small scale, the large majority of economic-based fishing efforts and recorded fish catches are attributed to commercial operations; species catch abundance generally reflecting both natural abundance and also stocks targeted (and preferred by fishers because of market demand. As such, main species and stock catches may be ranked as follows (based on average catches for the year 1987- 1998): The first is Yellow-fin Tuna (</w:t>
      </w:r>
      <w:r w:rsidR="004A3EE8" w:rsidRPr="00E32F64">
        <w:rPr>
          <w:rFonts w:ascii="Times New Roman" w:hAnsi="Times New Roman" w:cs="Times New Roman"/>
          <w:i/>
        </w:rPr>
        <w:t>Thunnus albacares</w:t>
      </w:r>
      <w:r w:rsidR="004A3EE8" w:rsidRPr="00E32F64">
        <w:rPr>
          <w:rFonts w:ascii="Times New Roman" w:hAnsi="Times New Roman" w:cs="Times New Roman"/>
        </w:rPr>
        <w:t>), a highly sought-after species because if its market value and now accounting for the largest species catch of 49,895 kg (1981) to 340,194 kg (1994) and contributing 16% of catches, on average over the years. The second ranking species contributor, accounting for 12% of landings, is Big Eye Scad (</w:t>
      </w:r>
      <w:r w:rsidR="004A3EE8" w:rsidRPr="00E32F64">
        <w:rPr>
          <w:rFonts w:ascii="Times New Roman" w:hAnsi="Times New Roman" w:cs="Times New Roman"/>
          <w:i/>
        </w:rPr>
        <w:t>Sela rcrumenopthalmus</w:t>
      </w:r>
      <w:r w:rsidR="004A3EE8" w:rsidRPr="00E32F64">
        <w:rPr>
          <w:rFonts w:ascii="Times New Roman" w:hAnsi="Times New Roman" w:cs="Times New Roman"/>
        </w:rPr>
        <w:t>); the third is Flying fish (</w:t>
      </w:r>
      <w:r w:rsidR="004A3EE8" w:rsidRPr="00E32F64">
        <w:rPr>
          <w:rFonts w:ascii="Times New Roman" w:hAnsi="Times New Roman" w:cs="Times New Roman"/>
          <w:i/>
        </w:rPr>
        <w:t>Exocoetidae sp</w:t>
      </w:r>
      <w:r w:rsidR="004A3EE8" w:rsidRPr="00E32F64">
        <w:rPr>
          <w:rFonts w:ascii="Times New Roman" w:hAnsi="Times New Roman" w:cs="Times New Roman"/>
        </w:rPr>
        <w:t xml:space="preserve">); </w:t>
      </w:r>
      <w:r w:rsidR="0073431E">
        <w:rPr>
          <w:rFonts w:ascii="Times New Roman" w:hAnsi="Times New Roman" w:cs="Times New Roman"/>
        </w:rPr>
        <w:t xml:space="preserve">and </w:t>
      </w:r>
      <w:r w:rsidR="004A3EE8" w:rsidRPr="00E32F64">
        <w:rPr>
          <w:rFonts w:ascii="Times New Roman" w:hAnsi="Times New Roman" w:cs="Times New Roman"/>
        </w:rPr>
        <w:t>the fourth is Blackfin Tuna (</w:t>
      </w:r>
      <w:r w:rsidR="004A3EE8" w:rsidRPr="00E32F64">
        <w:rPr>
          <w:rFonts w:ascii="Times New Roman" w:hAnsi="Times New Roman" w:cs="Times New Roman"/>
          <w:i/>
        </w:rPr>
        <w:t>Thunnus atlanticus</w:t>
      </w:r>
      <w:r w:rsidR="004A3EE8" w:rsidRPr="00E32F64">
        <w:rPr>
          <w:rFonts w:ascii="Times New Roman" w:hAnsi="Times New Roman" w:cs="Times New Roman"/>
        </w:rPr>
        <w:t>).</w:t>
      </w:r>
    </w:p>
    <w:p w14:paraId="2BE8A31F" w:rsidR="004A3EE8" w:rsidRPr="004A3EE8" w:rsidRDefault="004A3EE8" w:rsidP="004A3EE8">
      <w:pPr>
        <w:spacing w:after="240" w:line="240" w:lineRule="auto"/>
        <w:ind w:left="540"/>
        <w:jc w:val="both"/>
        <w:rPr>
          <w:rFonts w:ascii="Times New Roman" w:eastAsia="Times New Roman" w:hAnsi="Times New Roman" w:cs="Times New Roman"/>
        </w:rPr>
      </w:pPr>
      <w:r w:rsidRPr="004A3EE8">
        <w:rPr>
          <w:rFonts w:ascii="Times New Roman" w:hAnsi="Times New Roman" w:cs="Times New Roman"/>
        </w:rPr>
        <w:t>The sea egg fishery for White Sea eggs (Tripneustes ventricosus) maintained a consistently high production on both Grenada and the adjacent islands for about 10 years up to 1994 when a drastic decline in abundance (both catch and field observation) was noted and hence the fishery was closed in 1995 and remained closed until 2012 when the open season was held for one month. There is now evidence of a reasonable recovery of stocks of sea eggs on main sea grass beds. The trend in production, and therefore an implied abundance of economic stocks of marine species, has been more visible for mostly commercial fish landings, since semi-subsistence and subsistence landings are less well recorded at landing sites. The</w:t>
      </w:r>
      <w:r w:rsidRPr="004A3EE8">
        <w:rPr>
          <w:rFonts w:ascii="Times New Roman" w:hAnsi="Times New Roman" w:eastAsia="Times New Roman" w:cs="Times New Roman"/>
        </w:rPr>
        <w:t xml:space="preserve"> annual abundance has shown distinct cyclical trends over the period 1978 to 1998</w:t>
      </w:r>
      <w:r w:rsidRPr="004A3EE8">
        <w:rPr>
          <w:rFonts w:ascii="Times New Roman" w:hAnsi="Times New Roman" w:eastAsia="Times New Roman" w:cs="Times New Roman"/>
          <w:vertAlign w:val="superscript"/>
        </w:rPr>
        <w:footnoteReference w:id="8"/>
      </w:r>
      <w:r w:rsidRPr="004A3EE8">
        <w:rPr>
          <w:rFonts w:ascii="Times New Roman" w:hAnsi="Times New Roman" w:eastAsia="Times New Roman" w:cs="Times New Roman"/>
        </w:rPr>
        <w:t>. Of special concern is the fact that while the demand for demersal/rock fish species is high and seems to be steadily increasing, production does not appear to show corresponding increases over the years.</w:t>
      </w:r>
    </w:p>
    <w:p w14:paraId="24AF64EF" w:rsidR="00EA0BDC" w:rsidRDefault="00EA0BDC" w:rsidP="00982B00">
      <w:pPr>
        <w:tabs>
          <w:tab w:val="left" w:pos="0"/>
        </w:tabs>
        <w:spacing w:after="0" w:line="240" w:lineRule="auto"/>
        <w:ind w:left="540"/>
        <w:jc w:val="both"/>
        <w:rPr>
          <w:rFonts w:ascii="Times New Roman" w:hAnsi="Times New Roman" w:cs="Times New Roman"/>
        </w:rPr>
      </w:pPr>
      <w:r w:rsidRPr="00EA0BDC">
        <w:rPr>
          <w:rFonts w:ascii="Times New Roman" w:hAnsi="Times New Roman" w:eastAsia="Times New Roman" w:cs="Times New Roman"/>
        </w:rPr>
        <w:t>In the terrestrial environment, there is increasing use of non-timber forest products for subsistence livelihoods, but as the demand for commercialization of these products increases, there is inadequate baseline data to assess the impact that harvesting of these resources has on biodiversity and ecosystem functioning.</w:t>
      </w:r>
      <w:r w:rsidR="00142B90" w:rsidRPr="004A3EE8">
        <w:rPr>
          <w:rFonts w:ascii="Times New Roman" w:hAnsi="Times New Roman" w:cs="Times New Roman"/>
        </w:rPr>
        <w:t xml:space="preserve"> For example, non-timber forest products from screw pine (</w:t>
      </w:r>
      <w:r w:rsidR="00142B90" w:rsidRPr="004A3EE8">
        <w:rPr>
          <w:rFonts w:ascii="Times New Roman" w:hAnsi="Times New Roman" w:cs="Times New Roman"/>
          <w:i/>
        </w:rPr>
        <w:t>Pandanusutilis</w:t>
      </w:r>
      <w:r w:rsidR="00142B90" w:rsidRPr="004A3EE8">
        <w:rPr>
          <w:rFonts w:ascii="Times New Roman" w:hAnsi="Times New Roman" w:cs="Times New Roman"/>
        </w:rPr>
        <w:t>) and bamboo (</w:t>
      </w:r>
      <w:r w:rsidR="00142B90" w:rsidRPr="004A3EE8">
        <w:rPr>
          <w:rFonts w:ascii="Times New Roman" w:hAnsi="Times New Roman" w:cs="Times New Roman"/>
          <w:i/>
        </w:rPr>
        <w:t>Bambusa vulgaris</w:t>
      </w:r>
      <w:r w:rsidR="00142B90" w:rsidRPr="004A3EE8">
        <w:rPr>
          <w:rFonts w:ascii="Times New Roman" w:hAnsi="Times New Roman" w:cs="Times New Roman"/>
        </w:rPr>
        <w:t xml:space="preserve">) are harvested and utilized for making baskets and other handicraft; and also extensively used in construction. Many naturally occurring herbs are believed by many persons to have medicinal properties. </w:t>
      </w:r>
      <w:r w:rsidR="004A3EE8" w:rsidRPr="004A3EE8">
        <w:rPr>
          <w:rFonts w:ascii="Times New Roman" w:hAnsi="Times New Roman" w:cs="Times New Roman"/>
        </w:rPr>
        <w:t>Consequently, NTFP</w:t>
      </w:r>
      <w:r w:rsidR="00142B90" w:rsidRPr="004A3EE8">
        <w:rPr>
          <w:rFonts w:ascii="Times New Roman" w:hAnsi="Times New Roman" w:cs="Times New Roman"/>
        </w:rPr>
        <w:t xml:space="preserve"> areas are also used to produce herbal medicines, especially in rural areas.</w:t>
      </w:r>
    </w:p>
    <w:p w14:paraId="40E2B9E7" w:rsidR="00982B00" w:rsidRDefault="00982B00" w:rsidP="00982B00">
      <w:pPr>
        <w:tabs>
          <w:tab w:val="left" w:pos="0"/>
        </w:tabs>
        <w:spacing w:after="0" w:line="240" w:lineRule="auto"/>
        <w:ind w:left="540"/>
        <w:jc w:val="both"/>
        <w:rPr>
          <w:rFonts w:ascii="Times New Roman" w:hAnsi="Times New Roman" w:cs="Times New Roman"/>
        </w:rPr>
      </w:pPr>
    </w:p>
    <w:p w14:paraId="26E934D5" w:rsidR="00982B00" w:rsidRPr="004A3EE8" w:rsidRDefault="00982B00" w:rsidP="00982B00">
      <w:pPr>
        <w:tabs>
          <w:tab w:val="left" w:pos="0"/>
        </w:tabs>
        <w:spacing w:after="0" w:line="240" w:lineRule="auto"/>
        <w:ind w:left="540"/>
        <w:jc w:val="both"/>
        <w:rPr>
          <w:rFonts w:ascii="Times New Roman" w:eastAsia="Times New Roman" w:hAnsi="Times New Roman" w:cs="Times New Roman"/>
        </w:rPr>
      </w:pPr>
      <w:r w:rsidRPr="00DC4545">
        <w:rPr>
          <w:rFonts w:ascii="Times New Roman" w:hAnsi="Times New Roman" w:cs="Times New Roman"/>
        </w:rPr>
        <w:t xml:space="preserve">Hunting is a popular activity in Grenada for recreation and as a source of food and income. </w:t>
      </w:r>
      <w:r w:rsidR="00074855" w:rsidRPr="00074855">
        <w:rPr>
          <w:rFonts w:ascii="Times New Roman" w:hAnsi="Times New Roman" w:cs="Times New Roman"/>
        </w:rPr>
        <w:t xml:space="preserve">The over-exploitation of wildlife by hunters is significant despite declared ‘close seasons’ for hunting activities.  The virtual “open-access/free-entry regime” for the utilization of reef species, especially semi-sedentary shellfish, is reinforced by the policy of allowing opportunity for the economically challenged segment of the population to secure livelihoods from subsistence-based economic activities.  </w:t>
      </w:r>
      <w:r w:rsidRPr="00DC4545">
        <w:rPr>
          <w:rFonts w:ascii="Times New Roman" w:hAnsi="Times New Roman" w:cs="Times New Roman"/>
        </w:rPr>
        <w:t xml:space="preserve">The main animals hunted are: opossum or ‘manicou’ </w:t>
      </w:r>
      <w:r w:rsidRPr="00A53745">
        <w:rPr>
          <w:rFonts w:ascii="Times New Roman" w:hAnsi="Times New Roman" w:cs="Times New Roman"/>
        </w:rPr>
        <w:t>(</w:t>
      </w:r>
      <w:r w:rsidRPr="00982B00">
        <w:rPr>
          <w:rFonts w:ascii="Times New Roman" w:hAnsi="Times New Roman" w:cs="Times New Roman"/>
          <w:i/>
        </w:rPr>
        <w:t>Didelphismarsupialis insularis</w:t>
      </w:r>
      <w:r w:rsidRPr="00A53745">
        <w:rPr>
          <w:rFonts w:ascii="Times New Roman" w:hAnsi="Times New Roman" w:cs="Times New Roman"/>
        </w:rPr>
        <w:t>),</w:t>
      </w:r>
      <w:r w:rsidRPr="00DC4545">
        <w:rPr>
          <w:rFonts w:ascii="Times New Roman" w:hAnsi="Times New Roman" w:cs="Times New Roman"/>
        </w:rPr>
        <w:t xml:space="preserve"> armadillo or ‘tattoo’ </w:t>
      </w:r>
      <w:r w:rsidRPr="00A53745">
        <w:rPr>
          <w:rFonts w:ascii="Times New Roman" w:hAnsi="Times New Roman" w:cs="Times New Roman"/>
        </w:rPr>
        <w:t>(</w:t>
      </w:r>
      <w:r w:rsidRPr="00982B00">
        <w:rPr>
          <w:rFonts w:ascii="Times New Roman" w:hAnsi="Times New Roman" w:cs="Times New Roman"/>
          <w:i/>
        </w:rPr>
        <w:t>Dasypus novemcinctus hoplites</w:t>
      </w:r>
      <w:r w:rsidRPr="00A53745">
        <w:rPr>
          <w:rFonts w:ascii="Times New Roman" w:hAnsi="Times New Roman" w:cs="Times New Roman"/>
        </w:rPr>
        <w:t>)</w:t>
      </w:r>
      <w:r w:rsidRPr="00DC4545">
        <w:rPr>
          <w:rFonts w:ascii="Times New Roman" w:hAnsi="Times New Roman" w:cs="Times New Roman"/>
        </w:rPr>
        <w:t xml:space="preserve">, Mona monkey </w:t>
      </w:r>
      <w:r w:rsidRPr="00A53745">
        <w:rPr>
          <w:rFonts w:ascii="Times New Roman" w:hAnsi="Times New Roman" w:cs="Times New Roman"/>
        </w:rPr>
        <w:t>(</w:t>
      </w:r>
      <w:r w:rsidRPr="00982B00">
        <w:rPr>
          <w:rFonts w:ascii="Times New Roman" w:hAnsi="Times New Roman" w:cs="Times New Roman"/>
          <w:i/>
        </w:rPr>
        <w:t>Cercoithicu smonadenti</w:t>
      </w:r>
      <w:r w:rsidRPr="00A53745">
        <w:rPr>
          <w:rFonts w:ascii="Times New Roman" w:hAnsi="Times New Roman" w:cs="Times New Roman"/>
        </w:rPr>
        <w:t>),</w:t>
      </w:r>
      <w:r>
        <w:rPr>
          <w:rFonts w:ascii="Times New Roman" w:hAnsi="Times New Roman" w:cs="Times New Roman"/>
        </w:rPr>
        <w:t xml:space="preserve"> Ramier </w:t>
      </w:r>
      <w:r w:rsidRPr="00DC4545">
        <w:rPr>
          <w:rFonts w:ascii="Times New Roman" w:hAnsi="Times New Roman" w:cs="Times New Roman"/>
        </w:rPr>
        <w:t xml:space="preserve">pigeon </w:t>
      </w:r>
      <w:r w:rsidRPr="00A53745">
        <w:rPr>
          <w:rFonts w:ascii="Times New Roman" w:hAnsi="Times New Roman" w:cs="Times New Roman"/>
        </w:rPr>
        <w:t>(</w:t>
      </w:r>
      <w:r w:rsidRPr="00982B00">
        <w:rPr>
          <w:rFonts w:ascii="Times New Roman" w:hAnsi="Times New Roman" w:cs="Times New Roman"/>
          <w:i/>
        </w:rPr>
        <w:t>Columba squamosa</w:t>
      </w:r>
      <w:r w:rsidRPr="00A53745">
        <w:rPr>
          <w:rFonts w:ascii="Times New Roman" w:hAnsi="Times New Roman" w:cs="Times New Roman"/>
        </w:rPr>
        <w:t>)</w:t>
      </w:r>
      <w:r w:rsidRPr="00DC4545">
        <w:rPr>
          <w:rFonts w:ascii="Times New Roman" w:hAnsi="Times New Roman" w:cs="Times New Roman"/>
        </w:rPr>
        <w:t xml:space="preserve">, and iguana </w:t>
      </w:r>
      <w:r w:rsidRPr="00A53745">
        <w:rPr>
          <w:rFonts w:ascii="Times New Roman" w:hAnsi="Times New Roman" w:cs="Times New Roman"/>
        </w:rPr>
        <w:t>(</w:t>
      </w:r>
      <w:r w:rsidRPr="00982B00">
        <w:rPr>
          <w:rFonts w:ascii="Times New Roman" w:hAnsi="Times New Roman" w:cs="Times New Roman"/>
          <w:i/>
        </w:rPr>
        <w:t>Iguana iguana</w:t>
      </w:r>
      <w:r w:rsidRPr="00A53745">
        <w:rPr>
          <w:rFonts w:ascii="Times New Roman" w:hAnsi="Times New Roman" w:cs="Times New Roman"/>
        </w:rPr>
        <w:t>).</w:t>
      </w:r>
      <w:r>
        <w:rPr>
          <w:rFonts w:ascii="Times New Roman" w:hAnsi="Times New Roman" w:cs="Times New Roman"/>
        </w:rPr>
        <w:t xml:space="preserve"> </w:t>
      </w:r>
      <w:r w:rsidRPr="00DC4545">
        <w:rPr>
          <w:rFonts w:ascii="Times New Roman" w:hAnsi="Times New Roman" w:cs="Times New Roman"/>
        </w:rPr>
        <w:t>It is reported that Iguana numbers appear to be dropping, although the reason for this is uncertain. Members of the hunters association consulted during the Forest Policy development process indicated that the abundance of the game species was declining and suggested several measures for ensuring survival of these animals</w:t>
      </w:r>
      <w:r>
        <w:rPr>
          <w:rFonts w:ascii="Times New Roman" w:hAnsi="Times New Roman" w:cs="Times New Roman"/>
        </w:rPr>
        <w:t>, as well as</w:t>
      </w:r>
      <w:r w:rsidRPr="00DC4545">
        <w:rPr>
          <w:rFonts w:ascii="Times New Roman" w:hAnsi="Times New Roman" w:cs="Times New Roman"/>
        </w:rPr>
        <w:t xml:space="preserve"> their willingness to assist in </w:t>
      </w:r>
      <w:r>
        <w:rPr>
          <w:rFonts w:ascii="Times New Roman" w:hAnsi="Times New Roman" w:cs="Times New Roman"/>
        </w:rPr>
        <w:t xml:space="preserve">the </w:t>
      </w:r>
      <w:r w:rsidRPr="00DC4545">
        <w:rPr>
          <w:rFonts w:ascii="Times New Roman" w:hAnsi="Times New Roman" w:cs="Times New Roman"/>
        </w:rPr>
        <w:t xml:space="preserve">implementation of </w:t>
      </w:r>
      <w:r>
        <w:rPr>
          <w:rFonts w:ascii="Times New Roman" w:hAnsi="Times New Roman" w:cs="Times New Roman"/>
        </w:rPr>
        <w:t>such</w:t>
      </w:r>
      <w:r w:rsidRPr="00DC4545">
        <w:rPr>
          <w:rFonts w:ascii="Times New Roman" w:hAnsi="Times New Roman" w:cs="Times New Roman"/>
        </w:rPr>
        <w:t xml:space="preserve"> measures</w:t>
      </w:r>
      <w:r>
        <w:rPr>
          <w:rStyle w:val="FootnoteReference"/>
          <w:rFonts w:ascii="Times New Roman" w:hAnsi="Times New Roman" w:cs="Times New Roman"/>
        </w:rPr>
        <w:footnoteReference w:id="9"/>
      </w:r>
      <w:r w:rsidRPr="00DC4545">
        <w:rPr>
          <w:rFonts w:ascii="Times New Roman" w:hAnsi="Times New Roman" w:cs="Times New Roman"/>
        </w:rPr>
        <w:t>. A number of snake species are also said to be under threat, partly because they are often killed on sight by many Grenadians, and, until recently, they were collected in large numbers for the ‘djab-djab’ during Carnival. It has been suggested that the recent increase in rat population</w:t>
      </w:r>
      <w:r>
        <w:rPr>
          <w:rFonts w:ascii="Times New Roman" w:hAnsi="Times New Roman" w:cs="Times New Roman"/>
        </w:rPr>
        <w:t>s</w:t>
      </w:r>
      <w:r w:rsidRPr="00DC4545">
        <w:rPr>
          <w:rFonts w:ascii="Times New Roman" w:hAnsi="Times New Roman" w:cs="Times New Roman"/>
        </w:rPr>
        <w:t xml:space="preserve"> may be </w:t>
      </w:r>
      <w:r>
        <w:rPr>
          <w:rFonts w:ascii="Times New Roman" w:hAnsi="Times New Roman" w:cs="Times New Roman"/>
        </w:rPr>
        <w:t xml:space="preserve">due to the decrease in population of </w:t>
      </w:r>
      <w:r w:rsidRPr="00DC4545">
        <w:rPr>
          <w:rFonts w:ascii="Times New Roman" w:hAnsi="Times New Roman" w:cs="Times New Roman"/>
        </w:rPr>
        <w:t>one of their main predators</w:t>
      </w:r>
      <w:r>
        <w:rPr>
          <w:rFonts w:ascii="Times New Roman" w:hAnsi="Times New Roman" w:cs="Times New Roman"/>
        </w:rPr>
        <w:t>:</w:t>
      </w:r>
      <w:r w:rsidRPr="00DC4545">
        <w:rPr>
          <w:rFonts w:ascii="Times New Roman" w:hAnsi="Times New Roman" w:cs="Times New Roman"/>
        </w:rPr>
        <w:t xml:space="preserve"> snakes.</w:t>
      </w:r>
    </w:p>
    <w:p w14:paraId="37784755" w:rsidR="004A3EE8" w:rsidRPr="00EA0BDC" w:rsidRDefault="004A3EE8" w:rsidP="004A3EE8">
      <w:pPr>
        <w:tabs>
          <w:tab w:val="left" w:pos="0"/>
        </w:tabs>
        <w:spacing w:after="0" w:line="240" w:lineRule="auto"/>
        <w:ind w:left="540"/>
        <w:jc w:val="both"/>
        <w:rPr>
          <w:rFonts w:ascii="Times New Roman" w:eastAsia="Times New Roman" w:hAnsi="Times New Roman" w:cs="Times New Roman"/>
        </w:rPr>
      </w:pPr>
    </w:p>
    <w:p w14:paraId="588E9FBB" w:rsidR="002F153C" w:rsidRDefault="00EA0BDC" w:rsidP="00CA416F">
      <w:pPr>
        <w:numPr>
          <w:ilvl w:val="0"/>
          <w:numId w:val="66"/>
        </w:numPr>
        <w:tabs>
          <w:tab w:val="left" w:pos="0"/>
        </w:tabs>
        <w:spacing w:after="0" w:line="240" w:lineRule="auto"/>
        <w:ind w:left="540"/>
        <w:jc w:val="both"/>
        <w:rPr>
          <w:rFonts w:ascii="Times New Roman" w:eastAsia="Times New Roman" w:hAnsi="Times New Roman" w:cs="Times New Roman"/>
        </w:rPr>
      </w:pPr>
      <w:r w:rsidRPr="00EA0BDC">
        <w:rPr>
          <w:rFonts w:ascii="Times New Roman" w:hAnsi="Times New Roman" w:eastAsia="Times New Roman" w:cs="Times New Roman"/>
          <w:u w:val="single"/>
        </w:rPr>
        <w:t>Climate Change Impacts:</w:t>
      </w:r>
      <w:r w:rsidRPr="004A3EE8">
        <w:rPr>
          <w:rFonts w:ascii="Times New Roman" w:hAnsi="Times New Roman" w:eastAsia="Times New Roman" w:cs="Times New Roman"/>
        </w:rPr>
        <w:t xml:space="preserve"> </w:t>
      </w:r>
      <w:r w:rsidR="009746EB" w:rsidRPr="009746EB">
        <w:rPr>
          <w:rFonts w:ascii="Times New Roman" w:hAnsi="Times New Roman" w:eastAsia="Times New Roman" w:cs="Times New Roman"/>
        </w:rPr>
        <w:t xml:space="preserve">Climate Change is wreaking havoc on terrestrial and marine habitats. </w:t>
      </w:r>
      <w:r w:rsidRPr="00EA0BDC">
        <w:rPr>
          <w:rFonts w:ascii="Times New Roman" w:hAnsi="Times New Roman" w:eastAsia="Times New Roman" w:cs="Times New Roman"/>
        </w:rPr>
        <w:t>The Caribbean region is already experiencing an increase in hurricane frequency and intensity, coral bleaching, ocean acidification as a result of increased marine absorption of atmospheric CO</w:t>
      </w:r>
      <w:r w:rsidRPr="00EA0BDC">
        <w:rPr>
          <w:rFonts w:ascii="Times New Roman" w:hAnsi="Times New Roman" w:eastAsia="Times New Roman" w:cs="Times New Roman"/>
          <w:vertAlign w:val="subscript"/>
        </w:rPr>
        <w:t>2</w:t>
      </w:r>
      <w:r w:rsidRPr="00EA0BDC">
        <w:rPr>
          <w:rFonts w:ascii="Times New Roman" w:hAnsi="Times New Roman" w:eastAsia="Times New Roman" w:cs="Times New Roman"/>
        </w:rPr>
        <w:t xml:space="preserve">, coastal flooding due to sea level rise and loss of protective natural barriers, as well as both </w:t>
      </w:r>
      <w:r w:rsidRPr="002F153C">
        <w:rPr>
          <w:rFonts w:ascii="Times New Roman" w:hAnsi="Times New Roman" w:eastAsia="Times New Roman" w:cs="Times New Roman"/>
          <w:u w:val="single"/>
        </w:rPr>
        <w:t>observed</w:t>
      </w:r>
      <w:r w:rsidRPr="00EA0BDC">
        <w:rPr>
          <w:rFonts w:ascii="Times New Roman" w:hAnsi="Times New Roman" w:eastAsia="Times New Roman" w:cs="Times New Roman"/>
        </w:rPr>
        <w:t xml:space="preserve"> and predicted increases in sea level and sea surface temperature.  As noted above, severe storm events such as hurricanes have a significant impact on forest and coastal ecosystems in Grenada.  While hurricanes are part of the natural cycle, their effects are made significantly worse at locations where anthropocentric influences, such as infrastructure or inappropriate agricultural practices on steep slopes, or degradation of coral reefs and mangroves, have compromised the resilience of these ecosystems.  </w:t>
      </w:r>
      <w:r w:rsidRPr="008175A1">
        <w:rPr>
          <w:rFonts w:ascii="Times New Roman" w:hAnsi="Times New Roman" w:eastAsia="Times New Roman" w:cs="Times New Roman"/>
        </w:rPr>
        <w:t>Furthermore, the effects of increased hurricane frequency and severity and prolonged dry periods (e.g. 2009-2010), combined with lack of effective forest management to control fires, slash and burn agriculture, encroachment, and soil erosion, have significantly compromised the ability of Grenada’s</w:t>
      </w:r>
      <w:r w:rsidRPr="00EA0BDC">
        <w:rPr>
          <w:rFonts w:ascii="Times New Roman" w:hAnsi="Times New Roman" w:eastAsia="Times New Roman" w:cs="Times New Roman"/>
        </w:rPr>
        <w:t xml:space="preserve"> forests to maintain and re-generate forest cover</w:t>
      </w:r>
      <w:r w:rsidRPr="004A3EE8">
        <w:rPr>
          <w:rFonts w:ascii="Times New Roman" w:hAnsi="Times New Roman" w:eastAsia="Times New Roman" w:cs="Times New Roman"/>
        </w:rPr>
        <w:t>.</w:t>
      </w:r>
      <w:r w:rsidR="009746EB">
        <w:rPr>
          <w:rFonts w:ascii="Times New Roman" w:hAnsi="Times New Roman" w:eastAsia="Times New Roman" w:cs="Times New Roman"/>
        </w:rPr>
        <w:t xml:space="preserve"> </w:t>
      </w:r>
      <w:r w:rsidR="009746EB" w:rsidRPr="009746EB">
        <w:rPr>
          <w:rFonts w:ascii="Times New Roman" w:hAnsi="Times New Roman" w:eastAsia="Times New Roman" w:cs="Times New Roman"/>
        </w:rPr>
        <w:t xml:space="preserve">Forest fires are becoming increasingly devastating, especially in the annual dry season.  When such fires impact an area that has suffered several years of CC-induced dryer-than-normal seasons, the forest habitat becomes severely degraded and the biodiversity takes decades to naturally regenerate.  </w:t>
      </w:r>
    </w:p>
    <w:p w14:paraId="237179C7" w:rsidR="002F153C" w:rsidRDefault="002F153C" w:rsidP="002F153C">
      <w:pPr>
        <w:tabs>
          <w:tab w:val="left" w:pos="0"/>
        </w:tabs>
        <w:spacing w:after="0" w:line="240" w:lineRule="auto"/>
        <w:ind w:left="540"/>
        <w:jc w:val="both"/>
        <w:rPr>
          <w:rFonts w:ascii="Times New Roman" w:eastAsia="Times New Roman" w:hAnsi="Times New Roman" w:cs="Times New Roman"/>
        </w:rPr>
      </w:pPr>
    </w:p>
    <w:p w14:paraId="507848A9" w:rsidR="00383510" w:rsidRDefault="009746EB" w:rsidP="002F153C">
      <w:pPr>
        <w:tabs>
          <w:tab w:val="left" w:pos="0"/>
        </w:tabs>
        <w:spacing w:after="0" w:line="240" w:lineRule="auto"/>
        <w:ind w:left="540"/>
        <w:jc w:val="both"/>
        <w:rPr>
          <w:rFonts w:ascii="Times New Roman" w:eastAsia="Times New Roman" w:hAnsi="Times New Roman" w:cs="Times New Roman"/>
        </w:rPr>
      </w:pPr>
      <w:r w:rsidRPr="002F153C">
        <w:rPr>
          <w:rFonts w:ascii="Times New Roman" w:hAnsi="Times New Roman" w:eastAsia="Times New Roman" w:cs="Times New Roman"/>
        </w:rPr>
        <w:t xml:space="preserve">The impacts of Climate Change are also visible in the quality of ocean currents since pelagic stock recruitment into the Grenada fisheries is influenced by the “Orinoco green water”.  Another impact of Climate Change is the drying out of various types of vegetation and the impact on ecosystems, depending on the type of dominant vegetation and the biodiversity they support. The secondary and compounding effects of Climate Change are of special concern.  Degraded forests result in delayed seasonal recruitment of species, fragmentation of forest cover, exposed landscapes resulting in accelerated erosion during rainy seasons, and farmers miscalculating the appropriate times for planting.  </w:t>
      </w:r>
      <w:r w:rsidR="00074855">
        <w:rPr>
          <w:rFonts w:ascii="Times New Roman" w:hAnsi="Times New Roman" w:eastAsia="Times New Roman" w:cs="Times New Roman"/>
        </w:rPr>
        <w:t>Furthermore, u</w:t>
      </w:r>
      <w:r w:rsidRPr="002F153C">
        <w:rPr>
          <w:rFonts w:ascii="Times New Roman" w:hAnsi="Times New Roman" w:eastAsia="Times New Roman" w:cs="Times New Roman"/>
        </w:rPr>
        <w:t>nseasonal ocean currents and weather also impact on fish recruitment in a significant way.</w:t>
      </w:r>
    </w:p>
    <w:p w14:paraId="7B994859" w:rsidR="002F153C" w:rsidRPr="002F153C" w:rsidRDefault="002F153C" w:rsidP="002F153C">
      <w:pPr>
        <w:tabs>
          <w:tab w:val="left" w:pos="0"/>
        </w:tabs>
        <w:spacing w:after="0" w:line="240" w:lineRule="auto"/>
        <w:ind w:left="540"/>
        <w:jc w:val="both"/>
        <w:rPr>
          <w:rFonts w:ascii="Times New Roman" w:eastAsia="Times New Roman" w:hAnsi="Times New Roman" w:cs="Times New Roman"/>
        </w:rPr>
      </w:pPr>
    </w:p>
    <w:p w14:paraId="3E0FDB88" w:rsidR="00133632" w:rsidRPr="00074855" w:rsidRDefault="00C6660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074855">
        <w:rPr>
          <w:rFonts w:ascii="Times New Roman" w:hAnsi="Times New Roman" w:cs="Times New Roman"/>
        </w:rPr>
        <w:t xml:space="preserve">Both natural and human threats to the BD and Ecosystems functions are identified with climate related causes such as dry season forest fires and hurricanes. Soil erosion is one of the main human threats associated with contested uses of natural resources. Since the island condition of Grenada allows for no reserve landscapes or seascapes; then all terrestrial and marine ecosystems are shared and need to be the subject of active management of the BD and ecosystems functions, as eco-assets. </w:t>
      </w:r>
      <w:r w:rsidR="00D52CAF">
        <w:rPr>
          <w:rFonts w:ascii="Times New Roman" w:hAnsi="Times New Roman" w:cs="Times New Roman"/>
        </w:rPr>
        <w:t>An effective shift away from</w:t>
      </w:r>
      <w:r w:rsidR="00074855" w:rsidRPr="00074855">
        <w:rPr>
          <w:rFonts w:ascii="Times New Roman" w:hAnsi="Times New Roman" w:cs="Times New Roman"/>
        </w:rPr>
        <w:t xml:space="preserve"> the traditional “free-entry/open-access condition” requires much more vigorous control than merely applying close</w:t>
      </w:r>
      <w:r w:rsidR="00D52CAF">
        <w:rPr>
          <w:rFonts w:ascii="Times New Roman" w:hAnsi="Times New Roman" w:cs="Times New Roman"/>
        </w:rPr>
        <w:t>d seasons and catch-</w:t>
      </w:r>
      <w:r w:rsidR="00074855" w:rsidRPr="00074855">
        <w:rPr>
          <w:rFonts w:ascii="Times New Roman" w:hAnsi="Times New Roman" w:cs="Times New Roman"/>
        </w:rPr>
        <w:t xml:space="preserve">size restrictions. </w:t>
      </w:r>
      <w:r w:rsidRPr="00074855">
        <w:rPr>
          <w:rFonts w:ascii="Times New Roman" w:hAnsi="Times New Roman" w:cs="Times New Roman"/>
        </w:rPr>
        <w:t>The Ridge to Reef Approach to management is an acknowledgement that all terrestrial processes on landscapes (human or natural) will cross from upper altitude spaces across lower altitude spaces and onto to close shores seascapes. Hence</w:t>
      </w:r>
      <w:r w:rsidR="00074855">
        <w:rPr>
          <w:rFonts w:ascii="Times New Roman" w:hAnsi="Times New Roman" w:cs="Times New Roman"/>
        </w:rPr>
        <w:t>, t</w:t>
      </w:r>
      <w:r w:rsidR="00133632" w:rsidRPr="00074855">
        <w:rPr>
          <w:rFonts w:ascii="Times New Roman" w:hAnsi="Times New Roman" w:cs="Times New Roman"/>
        </w:rPr>
        <w:t xml:space="preserve">he project is designed to more aggressively educate the public </w:t>
      </w:r>
      <w:r w:rsidR="00732DFD" w:rsidRPr="00074855">
        <w:rPr>
          <w:rFonts w:ascii="Times New Roman" w:hAnsi="Times New Roman" w:cs="Times New Roman"/>
        </w:rPr>
        <w:t>at</w:t>
      </w:r>
      <w:r w:rsidR="00133632" w:rsidRPr="00074855">
        <w:rPr>
          <w:rFonts w:ascii="Times New Roman" w:hAnsi="Times New Roman" w:cs="Times New Roman"/>
        </w:rPr>
        <w:t xml:space="preserve"> local </w:t>
      </w:r>
      <w:r w:rsidR="00732DFD" w:rsidRPr="00074855">
        <w:rPr>
          <w:rFonts w:ascii="Times New Roman" w:hAnsi="Times New Roman" w:cs="Times New Roman"/>
        </w:rPr>
        <w:t>levels</w:t>
      </w:r>
      <w:r w:rsidR="00133632" w:rsidRPr="00074855">
        <w:rPr>
          <w:rFonts w:ascii="Times New Roman" w:hAnsi="Times New Roman" w:cs="Times New Roman"/>
        </w:rPr>
        <w:t xml:space="preserve"> to adopt agreed-upon measures to utilize resources under a “controlled access/ controlled entry regime” and </w:t>
      </w:r>
      <w:r w:rsidR="00BF1099" w:rsidRPr="00074855">
        <w:rPr>
          <w:rFonts w:ascii="Times New Roman" w:hAnsi="Times New Roman" w:cs="Times New Roman"/>
        </w:rPr>
        <w:t>become</w:t>
      </w:r>
      <w:r w:rsidR="00133632" w:rsidRPr="00074855">
        <w:rPr>
          <w:rFonts w:ascii="Times New Roman" w:hAnsi="Times New Roman" w:cs="Times New Roman"/>
        </w:rPr>
        <w:t xml:space="preserve"> accustomed to area restrictions </w:t>
      </w:r>
      <w:r w:rsidR="00074855">
        <w:rPr>
          <w:rFonts w:ascii="Times New Roman" w:hAnsi="Times New Roman" w:cs="Times New Roman"/>
        </w:rPr>
        <w:t>associated with effectively-managed</w:t>
      </w:r>
      <w:r w:rsidR="00133632" w:rsidRPr="00074855">
        <w:rPr>
          <w:rFonts w:ascii="Times New Roman" w:hAnsi="Times New Roman" w:cs="Times New Roman"/>
        </w:rPr>
        <w:t xml:space="preserve"> Protected Areas.</w:t>
      </w:r>
    </w:p>
    <w:p w14:paraId="3DDA369C" w:rsidR="00133632" w:rsidRPr="00DC4545" w:rsidRDefault="006C24E2" w:rsidP="009C3E04">
      <w:pPr>
        <w:pStyle w:val="Heading3"/>
      </w:pPr>
      <w:bookmarkStart w:id="17" w:name="_Toc389820956"/>
      <w:r>
        <w:t xml:space="preserve">1.B.2. </w:t>
      </w:r>
      <w:r w:rsidR="00133632" w:rsidRPr="00DC4545">
        <w:t>Direct and Underlying Causes of Loss of Biodiversity:</w:t>
      </w:r>
      <w:bookmarkEnd w:id="17"/>
    </w:p>
    <w:p w14:paraId="706754AD" w:rsidR="00133632" w:rsidRPr="00DC4545" w:rsidRDefault="00133632" w:rsidP="009C3E04">
      <w:pPr>
        <w:pStyle w:val="NoSpacing"/>
        <w:rPr>
          <w:rFonts w:ascii="Times New Roman" w:hAnsi="Times New Roman" w:cs="Times New Roman"/>
        </w:rPr>
      </w:pPr>
    </w:p>
    <w:p w14:paraId="0ED0EAB0" w:rsidR="00133632" w:rsidRPr="00DC4545" w:rsidRDefault="0007485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074855">
        <w:rPr>
          <w:rFonts w:ascii="Times New Roman" w:hAnsi="Times New Roman" w:eastAsia="Times New Roman" w:cs="Times New Roman"/>
        </w:rPr>
        <w:t>The above threats have caused several wildlife species to be lost since the arrival of Europeans, including the manatee (</w:t>
      </w:r>
      <w:r w:rsidRPr="00074855">
        <w:rPr>
          <w:rFonts w:ascii="Times New Roman" w:hAnsi="Times New Roman" w:eastAsia="Times New Roman" w:cs="Times New Roman"/>
          <w:i/>
        </w:rPr>
        <w:t>Tricheus manatus</w:t>
      </w:r>
      <w:r w:rsidRPr="00074855">
        <w:rPr>
          <w:rFonts w:ascii="Times New Roman" w:hAnsi="Times New Roman" w:eastAsia="Times New Roman" w:cs="Times New Roman"/>
        </w:rPr>
        <w:t>), Grenada parrot (</w:t>
      </w:r>
      <w:r w:rsidRPr="00074855">
        <w:rPr>
          <w:rFonts w:ascii="Times New Roman" w:hAnsi="Times New Roman" w:eastAsia="Times New Roman" w:cs="Times New Roman"/>
          <w:i/>
        </w:rPr>
        <w:t>Amazona sp</w:t>
      </w:r>
      <w:r w:rsidRPr="00074855">
        <w:rPr>
          <w:rFonts w:ascii="Times New Roman" w:hAnsi="Times New Roman" w:eastAsia="Times New Roman" w:cs="Times New Roman"/>
        </w:rPr>
        <w:t>), agouti (</w:t>
      </w:r>
      <w:r w:rsidRPr="00074855">
        <w:rPr>
          <w:rFonts w:ascii="Times New Roman" w:hAnsi="Times New Roman" w:eastAsia="Times New Roman" w:cs="Times New Roman"/>
          <w:i/>
        </w:rPr>
        <w:t>Dasyprocta albida</w:t>
      </w:r>
      <w:r w:rsidRPr="00074855">
        <w:rPr>
          <w:rFonts w:ascii="Times New Roman" w:hAnsi="Times New Roman" w:eastAsia="Times New Roman" w:cs="Times New Roman"/>
        </w:rPr>
        <w:t>), Neuweids moon-snake (</w:t>
      </w:r>
      <w:r w:rsidRPr="00074855">
        <w:rPr>
          <w:rFonts w:ascii="Times New Roman" w:hAnsi="Times New Roman" w:eastAsia="Times New Roman" w:cs="Times New Roman"/>
          <w:i/>
        </w:rPr>
        <w:t>Pseudoboa neuweids</w:t>
      </w:r>
      <w:r w:rsidRPr="00074855">
        <w:rPr>
          <w:rFonts w:ascii="Times New Roman" w:hAnsi="Times New Roman" w:eastAsia="Times New Roman" w:cs="Times New Roman"/>
        </w:rPr>
        <w:t>), slaws racer (</w:t>
      </w:r>
      <w:r w:rsidRPr="00074855">
        <w:rPr>
          <w:rFonts w:ascii="Times New Roman" w:hAnsi="Times New Roman" w:eastAsia="Times New Roman" w:cs="Times New Roman"/>
          <w:i/>
        </w:rPr>
        <w:t>Liophis melanotus</w:t>
      </w:r>
      <w:r w:rsidRPr="00074855">
        <w:rPr>
          <w:rFonts w:ascii="Times New Roman" w:hAnsi="Times New Roman" w:eastAsia="Times New Roman" w:cs="Times New Roman"/>
        </w:rPr>
        <w:t>), and the Morocoy tortoise (</w:t>
      </w:r>
      <w:r w:rsidRPr="00074855">
        <w:rPr>
          <w:rFonts w:ascii="Times New Roman" w:hAnsi="Times New Roman" w:eastAsia="Times New Roman" w:cs="Times New Roman"/>
          <w:i/>
        </w:rPr>
        <w:t>Geuclelone carbonaria</w:t>
      </w:r>
      <w:r w:rsidRPr="00074855">
        <w:rPr>
          <w:rFonts w:ascii="Times New Roman" w:hAnsi="Times New Roman" w:eastAsia="Times New Roman" w:cs="Times New Roman"/>
        </w:rPr>
        <w:t xml:space="preserve">). </w:t>
      </w:r>
      <w:r w:rsidR="00133632" w:rsidRPr="00DC4545">
        <w:rPr>
          <w:rFonts w:ascii="Times New Roman" w:hAnsi="Times New Roman" w:cs="Times New Roman"/>
        </w:rPr>
        <w:t>The high level of overall</w:t>
      </w:r>
      <w:r w:rsidR="002F2C81">
        <w:rPr>
          <w:rFonts w:ascii="Times New Roman" w:hAnsi="Times New Roman" w:cs="Times New Roman"/>
        </w:rPr>
        <w:t xml:space="preserve"> </w:t>
      </w:r>
      <w:r w:rsidR="00133632" w:rsidRPr="00DC4545">
        <w:rPr>
          <w:rFonts w:ascii="Times New Roman" w:hAnsi="Times New Roman" w:cs="Times New Roman"/>
        </w:rPr>
        <w:t>poverty of 37.7%</w:t>
      </w:r>
      <w:r w:rsidR="0085438A">
        <w:rPr>
          <w:rStyle w:val="FootnoteReference"/>
          <w:rFonts w:ascii="Times New Roman" w:hAnsi="Times New Roman" w:cs="Times New Roman"/>
        </w:rPr>
        <w:footnoteReference w:id="10"/>
      </w:r>
      <w:r w:rsidR="00133632" w:rsidRPr="00DC4545">
        <w:rPr>
          <w:rFonts w:ascii="Times New Roman" w:hAnsi="Times New Roman" w:cs="Times New Roman"/>
        </w:rPr>
        <w:t xml:space="preserve">, with even higher levels in the rural areas where </w:t>
      </w:r>
      <w:r w:rsidR="009A43E5">
        <w:rPr>
          <w:rFonts w:ascii="Times New Roman" w:hAnsi="Times New Roman" w:cs="Times New Roman"/>
        </w:rPr>
        <w:t>people</w:t>
      </w:r>
      <w:r w:rsidR="00133632" w:rsidRPr="00DC4545">
        <w:rPr>
          <w:rFonts w:ascii="Times New Roman" w:hAnsi="Times New Roman" w:cs="Times New Roman"/>
        </w:rPr>
        <w:t xml:space="preserve"> depend so heavily on natural resources for subsistence livelihoods puts a significant amount of pressure on the </w:t>
      </w:r>
      <w:r w:rsidR="009A43E5">
        <w:rPr>
          <w:rFonts w:ascii="Times New Roman" w:hAnsi="Times New Roman" w:cs="Times New Roman"/>
        </w:rPr>
        <w:t xml:space="preserve">local </w:t>
      </w:r>
      <w:r w:rsidR="00133632" w:rsidRPr="00DC4545">
        <w:rPr>
          <w:rFonts w:ascii="Times New Roman" w:hAnsi="Times New Roman" w:cs="Times New Roman"/>
        </w:rPr>
        <w:t>biodiversity.  A persistent public policy strategy that recognizes and reinforces opportunit</w:t>
      </w:r>
      <w:r w:rsidR="009A43E5">
        <w:rPr>
          <w:rFonts w:ascii="Times New Roman" w:hAnsi="Times New Roman" w:cs="Times New Roman"/>
        </w:rPr>
        <w:t>ies</w:t>
      </w:r>
      <w:r w:rsidR="00133632" w:rsidRPr="00DC4545">
        <w:rPr>
          <w:rFonts w:ascii="Times New Roman" w:hAnsi="Times New Roman" w:cs="Times New Roman"/>
        </w:rPr>
        <w:t xml:space="preserve"> for </w:t>
      </w:r>
      <w:r w:rsidR="009A43E5">
        <w:rPr>
          <w:rFonts w:ascii="Times New Roman" w:hAnsi="Times New Roman" w:cs="Times New Roman"/>
        </w:rPr>
        <w:t>individuals</w:t>
      </w:r>
      <w:r w:rsidR="00133632" w:rsidRPr="00DC4545">
        <w:rPr>
          <w:rFonts w:ascii="Times New Roman" w:hAnsi="Times New Roman" w:cs="Times New Roman"/>
        </w:rPr>
        <w:t xml:space="preserve"> within the informal economy to utilize the biodiversity for livelihoods compounds the pressure on th</w:t>
      </w:r>
      <w:r w:rsidR="009A43E5">
        <w:rPr>
          <w:rFonts w:ascii="Times New Roman" w:hAnsi="Times New Roman" w:cs="Times New Roman"/>
        </w:rPr>
        <w:t>at</w:t>
      </w:r>
      <w:r w:rsidR="00133632" w:rsidRPr="00DC4545">
        <w:rPr>
          <w:rFonts w:ascii="Times New Roman" w:hAnsi="Times New Roman" w:cs="Times New Roman"/>
        </w:rPr>
        <w:t xml:space="preserve"> biodiversity.  Population growth and encroachments on landscapes for housing and other urban developments in an increasingly formal and commoditized economy is another significant contributor to loss of biodiversity and habitat.  This need to utilize biodiversity and habitat is even more troublesome in the marine </w:t>
      </w:r>
      <w:r w:rsidR="009A43E5">
        <w:rPr>
          <w:rFonts w:ascii="Times New Roman" w:hAnsi="Times New Roman" w:cs="Times New Roman"/>
        </w:rPr>
        <w:t>near</w:t>
      </w:r>
      <w:r w:rsidR="00133632" w:rsidRPr="00DC4545">
        <w:rPr>
          <w:rFonts w:ascii="Times New Roman" w:hAnsi="Times New Roman" w:cs="Times New Roman"/>
        </w:rPr>
        <w:t xml:space="preserve"> shore spaces where the sea spaces are common property and there</w:t>
      </w:r>
      <w:r w:rsidR="009A43E5">
        <w:rPr>
          <w:rFonts w:ascii="Times New Roman" w:hAnsi="Times New Roman" w:cs="Times New Roman"/>
        </w:rPr>
        <w:t>fore less secure from the open-access/free-</w:t>
      </w:r>
      <w:r w:rsidR="00133632" w:rsidRPr="00DC4545">
        <w:rPr>
          <w:rFonts w:ascii="Times New Roman" w:hAnsi="Times New Roman" w:cs="Times New Roman"/>
        </w:rPr>
        <w:t>entry condition.</w:t>
      </w:r>
    </w:p>
    <w:p w14:paraId="5B706B5F" w:rsidR="00133632" w:rsidRPr="00DC4545" w:rsidRDefault="00383510" w:rsidP="009C3E04">
      <w:pPr>
        <w:pStyle w:val="Heading4"/>
      </w:pPr>
      <w:r>
        <w:t>L</w:t>
      </w:r>
      <w:r w:rsidR="00133632" w:rsidRPr="00DC4545">
        <w:t>and tenure:</w:t>
      </w:r>
    </w:p>
    <w:p w14:paraId="104D751C" w:rsidR="00133632" w:rsidRPr="00DC4545" w:rsidRDefault="00133632" w:rsidP="009C3E04">
      <w:pPr>
        <w:pStyle w:val="NoSpacing"/>
        <w:rPr>
          <w:rFonts w:ascii="Times New Roman" w:hAnsi="Times New Roman" w:cs="Times New Roman"/>
        </w:rPr>
      </w:pPr>
    </w:p>
    <w:p w14:paraId="79C0554C"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 The distribution of land relates directly to the utilization of BD and ecosystems functions.  </w:t>
      </w:r>
      <w:r w:rsidR="00E32F64">
        <w:rPr>
          <w:rFonts w:ascii="Times New Roman" w:hAnsi="Times New Roman" w:cs="Times New Roman"/>
        </w:rPr>
        <w:t>Since</w:t>
      </w:r>
      <w:r w:rsidRPr="00DC4545">
        <w:rPr>
          <w:rFonts w:ascii="Times New Roman" w:hAnsi="Times New Roman" w:cs="Times New Roman"/>
        </w:rPr>
        <w:t xml:space="preserve"> </w:t>
      </w:r>
      <w:r w:rsidR="00E32F64">
        <w:rPr>
          <w:rFonts w:ascii="Times New Roman" w:hAnsi="Times New Roman" w:cs="Times New Roman"/>
        </w:rPr>
        <w:t>85% of the</w:t>
      </w:r>
      <w:r w:rsidRPr="00DC4545">
        <w:rPr>
          <w:rFonts w:ascii="Times New Roman" w:hAnsi="Times New Roman" w:cs="Times New Roman"/>
        </w:rPr>
        <w:t xml:space="preserve"> land</w:t>
      </w:r>
      <w:r w:rsidR="001F246A">
        <w:rPr>
          <w:rFonts w:ascii="Times New Roman" w:hAnsi="Times New Roman" w:cs="Times New Roman"/>
        </w:rPr>
        <w:t xml:space="preserve"> </w:t>
      </w:r>
      <w:r w:rsidR="00E32F64">
        <w:rPr>
          <w:rFonts w:ascii="Times New Roman" w:hAnsi="Times New Roman" w:cs="Times New Roman"/>
        </w:rPr>
        <w:t>in Grenada is</w:t>
      </w:r>
      <w:r w:rsidRPr="00DC4545">
        <w:rPr>
          <w:rFonts w:ascii="Times New Roman" w:hAnsi="Times New Roman" w:cs="Times New Roman"/>
        </w:rPr>
        <w:t xml:space="preserve"> privately owned and land is distributed to a relatively large number of </w:t>
      </w:r>
      <w:r w:rsidR="009A43E5">
        <w:rPr>
          <w:rFonts w:ascii="Times New Roman" w:hAnsi="Times New Roman" w:cs="Times New Roman"/>
        </w:rPr>
        <w:t>individuals</w:t>
      </w:r>
      <w:r w:rsidRPr="00DC4545">
        <w:rPr>
          <w:rFonts w:ascii="Times New Roman" w:hAnsi="Times New Roman" w:cs="Times New Roman"/>
        </w:rPr>
        <w:t xml:space="preserve"> within the population, meaning that land wealth is more evenly distributed than many jurisdictions in the region and beyond, then </w:t>
      </w:r>
      <w:r w:rsidR="00E32F64">
        <w:rPr>
          <w:rFonts w:ascii="Times New Roman" w:hAnsi="Times New Roman" w:cs="Times New Roman"/>
        </w:rPr>
        <w:t xml:space="preserve">the </w:t>
      </w:r>
      <w:r w:rsidRPr="00DC4545">
        <w:rPr>
          <w:rFonts w:ascii="Times New Roman" w:hAnsi="Times New Roman" w:cs="Times New Roman"/>
        </w:rPr>
        <w:t>small</w:t>
      </w:r>
      <w:r w:rsidR="00E32F64">
        <w:rPr>
          <w:rFonts w:ascii="Times New Roman" w:hAnsi="Times New Roman" w:cs="Times New Roman"/>
        </w:rPr>
        <w:t xml:space="preserve"> remaining</w:t>
      </w:r>
      <w:r w:rsidRPr="00DC4545">
        <w:rPr>
          <w:rFonts w:ascii="Times New Roman" w:hAnsi="Times New Roman" w:cs="Times New Roman"/>
        </w:rPr>
        <w:t xml:space="preserve"> percentage</w:t>
      </w:r>
      <w:r w:rsidR="00E32F64">
        <w:rPr>
          <w:rFonts w:ascii="Times New Roman" w:hAnsi="Times New Roman" w:cs="Times New Roman"/>
        </w:rPr>
        <w:t xml:space="preserve"> (15%)</w:t>
      </w:r>
      <w:r w:rsidRPr="00DC4545">
        <w:rPr>
          <w:rFonts w:ascii="Times New Roman" w:hAnsi="Times New Roman" w:cs="Times New Roman"/>
        </w:rPr>
        <w:t xml:space="preserve"> of crown (public) land available to government greatly weakens </w:t>
      </w:r>
      <w:r w:rsidR="009A43E5">
        <w:rPr>
          <w:rFonts w:ascii="Times New Roman" w:hAnsi="Times New Roman" w:cs="Times New Roman"/>
        </w:rPr>
        <w:t xml:space="preserve">the </w:t>
      </w:r>
      <w:r w:rsidRPr="00DC4545">
        <w:rPr>
          <w:rFonts w:ascii="Times New Roman" w:hAnsi="Times New Roman" w:cs="Times New Roman"/>
        </w:rPr>
        <w:t>Government’s capacity to shape public policy regarding the utilization of the terrestrial land-based BD and ecosystems functions.  The wide distribution of small land holdings in Grenada acts as a constraint on public management of landscapes as a corporate responsibility; a political challenge is identifiable; a unique political economy exists.</w:t>
      </w:r>
    </w:p>
    <w:p w14:paraId="419D96C2" w:rsidR="00133632" w:rsidRPr="00DC4545" w:rsidRDefault="00133632" w:rsidP="009C3E04">
      <w:pPr>
        <w:pStyle w:val="Heading4"/>
      </w:pPr>
      <w:r w:rsidRPr="00DC4545">
        <w:t xml:space="preserve">Deficient Environmental Planning and Weakness in </w:t>
      </w:r>
      <w:r w:rsidR="00383510">
        <w:t>Policy Formulation and Implementation</w:t>
      </w:r>
      <w:r w:rsidRPr="00DC4545">
        <w:t>:</w:t>
      </w:r>
    </w:p>
    <w:p w14:paraId="27083413" w:rsidR="00133632" w:rsidRPr="00DC4545" w:rsidRDefault="00133632" w:rsidP="009C3E04">
      <w:pPr>
        <w:pStyle w:val="NoSpacing"/>
        <w:rPr>
          <w:rFonts w:ascii="Times New Roman" w:hAnsi="Times New Roman" w:cs="Times New Roman"/>
        </w:rPr>
      </w:pPr>
    </w:p>
    <w:p w14:paraId="438A5456"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w:t>
      </w:r>
      <w:r w:rsidR="00A25185">
        <w:rPr>
          <w:rFonts w:ascii="Times New Roman" w:hAnsi="Times New Roman" w:cs="Times New Roman"/>
        </w:rPr>
        <w:t xml:space="preserve">lack of </w:t>
      </w:r>
      <w:r w:rsidRPr="00DC4545">
        <w:rPr>
          <w:rFonts w:ascii="Times New Roman" w:hAnsi="Times New Roman" w:cs="Times New Roman"/>
        </w:rPr>
        <w:t xml:space="preserve">adoption and application of environmental law and regulations as policy instruments </w:t>
      </w:r>
      <w:r w:rsidR="00A25185">
        <w:rPr>
          <w:rFonts w:ascii="Times New Roman" w:hAnsi="Times New Roman" w:cs="Times New Roman"/>
        </w:rPr>
        <w:t>has serious</w:t>
      </w:r>
      <w:r w:rsidRPr="00DC4545">
        <w:rPr>
          <w:rFonts w:ascii="Times New Roman" w:hAnsi="Times New Roman" w:cs="Times New Roman"/>
        </w:rPr>
        <w:t xml:space="preserve"> political </w:t>
      </w:r>
      <w:r w:rsidR="00A25185">
        <w:rPr>
          <w:rFonts w:ascii="Times New Roman" w:hAnsi="Times New Roman" w:cs="Times New Roman"/>
        </w:rPr>
        <w:t xml:space="preserve">implications, more so </w:t>
      </w:r>
      <w:r w:rsidRPr="00DC4545">
        <w:rPr>
          <w:rFonts w:ascii="Times New Roman" w:hAnsi="Times New Roman" w:cs="Times New Roman"/>
        </w:rPr>
        <w:t xml:space="preserve">than economic </w:t>
      </w:r>
      <w:r w:rsidR="00A25185">
        <w:rPr>
          <w:rFonts w:ascii="Times New Roman" w:hAnsi="Times New Roman" w:cs="Times New Roman"/>
        </w:rPr>
        <w:t>ones</w:t>
      </w:r>
      <w:r w:rsidRPr="00DC4545">
        <w:rPr>
          <w:rFonts w:ascii="Times New Roman" w:hAnsi="Times New Roman" w:cs="Times New Roman"/>
        </w:rPr>
        <w:t>.  This makes underlying causes such as regulatory gaps, limited institutional inter-sectoral coordination, more of a reflection of the root causes themselves.  While management and conservation of BD and ecosystems functions need to be more applicably reflected in enhanced law and regulations</w:t>
      </w:r>
      <w:r w:rsidR="00A25185">
        <w:rPr>
          <w:rFonts w:ascii="Times New Roman" w:hAnsi="Times New Roman" w:cs="Times New Roman"/>
        </w:rPr>
        <w:t>,</w:t>
      </w:r>
      <w:r w:rsidRPr="00DC4545">
        <w:rPr>
          <w:rFonts w:ascii="Times New Roman" w:hAnsi="Times New Roman" w:cs="Times New Roman"/>
        </w:rPr>
        <w:t xml:space="preserve"> </w:t>
      </w:r>
      <w:r w:rsidR="00A25185">
        <w:rPr>
          <w:rFonts w:ascii="Times New Roman" w:hAnsi="Times New Roman" w:cs="Times New Roman"/>
        </w:rPr>
        <w:t>they also</w:t>
      </w:r>
      <w:r w:rsidRPr="00DC4545">
        <w:rPr>
          <w:rFonts w:ascii="Times New Roman" w:hAnsi="Times New Roman" w:cs="Times New Roman"/>
        </w:rPr>
        <w:t xml:space="preserve"> need to be more explicitly reflected in the annual work plans and medium term strategies of the relevant Competent Authorities of Government.</w:t>
      </w:r>
    </w:p>
    <w:p w14:paraId="4E1A79A2" w:rsidR="00133632" w:rsidRPr="00DC4545" w:rsidRDefault="00133632" w:rsidP="009C3E04">
      <w:pPr>
        <w:pStyle w:val="Heading4"/>
      </w:pPr>
      <w:r w:rsidRPr="004A3F4F">
        <w:t>Contamination of Water Sources:</w:t>
      </w:r>
      <w:r w:rsidRPr="00DC4545">
        <w:t xml:space="preserve"> </w:t>
      </w:r>
    </w:p>
    <w:p w14:paraId="49927437" w:rsidR="00133632" w:rsidRPr="00DC4545" w:rsidRDefault="00133632" w:rsidP="009C3E04">
      <w:pPr>
        <w:pStyle w:val="NoSpacing"/>
        <w:rPr>
          <w:rFonts w:ascii="Times New Roman" w:hAnsi="Times New Roman" w:cs="Times New Roman"/>
        </w:rPr>
      </w:pPr>
    </w:p>
    <w:p w14:paraId="60843D6D"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Rural communities use rivers</w:t>
      </w:r>
      <w:r w:rsidR="004C2178">
        <w:rPr>
          <w:rFonts w:ascii="Times New Roman" w:hAnsi="Times New Roman" w:cs="Times New Roman"/>
        </w:rPr>
        <w:t xml:space="preserve"> and</w:t>
      </w:r>
      <w:r w:rsidRPr="00DC4545">
        <w:rPr>
          <w:rFonts w:ascii="Times New Roman" w:hAnsi="Times New Roman" w:cs="Times New Roman"/>
        </w:rPr>
        <w:t xml:space="preserve"> streams for agricultural activities such as penned annual farming, irrigation, laundry and multiple </w:t>
      </w:r>
      <w:r w:rsidR="000E7279">
        <w:rPr>
          <w:rFonts w:ascii="Times New Roman" w:hAnsi="Times New Roman" w:cs="Times New Roman"/>
        </w:rPr>
        <w:t>forms</w:t>
      </w:r>
      <w:r w:rsidRPr="00DC4545">
        <w:rPr>
          <w:rFonts w:ascii="Times New Roman" w:hAnsi="Times New Roman" w:cs="Times New Roman"/>
        </w:rPr>
        <w:t xml:space="preserve"> of </w:t>
      </w:r>
      <w:r w:rsidR="004C2178" w:rsidRPr="004C2178">
        <w:rPr>
          <w:rFonts w:ascii="Times New Roman" w:hAnsi="Times New Roman" w:cs="Times New Roman"/>
        </w:rPr>
        <w:t xml:space="preserve">liquid wastes </w:t>
      </w:r>
      <w:r w:rsidRPr="00DC4545">
        <w:rPr>
          <w:rFonts w:ascii="Times New Roman" w:hAnsi="Times New Roman" w:cs="Times New Roman"/>
        </w:rPr>
        <w:t xml:space="preserve">disposal, having no </w:t>
      </w:r>
      <w:r w:rsidR="004C2178">
        <w:rPr>
          <w:rFonts w:ascii="Times New Roman" w:hAnsi="Times New Roman" w:cs="Times New Roman"/>
        </w:rPr>
        <w:t xml:space="preserve">formal </w:t>
      </w:r>
      <w:r w:rsidRPr="00DC4545">
        <w:rPr>
          <w:rFonts w:ascii="Times New Roman" w:hAnsi="Times New Roman" w:cs="Times New Roman"/>
        </w:rPr>
        <w:t>sewage disposal system at such locations.  Under these circumstances</w:t>
      </w:r>
      <w:r w:rsidR="000E7279">
        <w:rPr>
          <w:rFonts w:ascii="Times New Roman" w:hAnsi="Times New Roman" w:cs="Times New Roman"/>
        </w:rPr>
        <w:t>,</w:t>
      </w:r>
      <w:r w:rsidRPr="00DC4545">
        <w:rPr>
          <w:rFonts w:ascii="Times New Roman" w:hAnsi="Times New Roman" w:cs="Times New Roman"/>
        </w:rPr>
        <w:t xml:space="preserve"> </w:t>
      </w:r>
      <w:r w:rsidR="004C2178">
        <w:rPr>
          <w:rFonts w:ascii="Times New Roman" w:hAnsi="Times New Roman" w:cs="Times New Roman"/>
        </w:rPr>
        <w:t>the accumulation of waste</w:t>
      </w:r>
      <w:r w:rsidRPr="00DC4545">
        <w:rPr>
          <w:rFonts w:ascii="Times New Roman" w:hAnsi="Times New Roman" w:cs="Times New Roman"/>
        </w:rPr>
        <w:t xml:space="preserve"> become</w:t>
      </w:r>
      <w:r w:rsidR="004C2178">
        <w:rPr>
          <w:rFonts w:ascii="Times New Roman" w:hAnsi="Times New Roman" w:cs="Times New Roman"/>
        </w:rPr>
        <w:t>s</w:t>
      </w:r>
      <w:r w:rsidRPr="00DC4545">
        <w:rPr>
          <w:rFonts w:ascii="Times New Roman" w:hAnsi="Times New Roman" w:cs="Times New Roman"/>
        </w:rPr>
        <w:t xml:space="preserve"> more and more concentrated downstream and </w:t>
      </w:r>
      <w:r w:rsidR="000E7279">
        <w:rPr>
          <w:rFonts w:ascii="Times New Roman" w:hAnsi="Times New Roman" w:cs="Times New Roman"/>
        </w:rPr>
        <w:t xml:space="preserve">eventually </w:t>
      </w:r>
      <w:r w:rsidR="004C2178">
        <w:rPr>
          <w:rFonts w:ascii="Times New Roman" w:hAnsi="Times New Roman" w:cs="Times New Roman"/>
        </w:rPr>
        <w:t>release into</w:t>
      </w:r>
      <w:r w:rsidR="004031B2">
        <w:rPr>
          <w:rFonts w:ascii="Times New Roman" w:hAnsi="Times New Roman" w:cs="Times New Roman"/>
        </w:rPr>
        <w:t xml:space="preserve"> marine habitats and MPAs.  </w:t>
      </w:r>
      <w:r w:rsidR="004C2178">
        <w:rPr>
          <w:rFonts w:ascii="Times New Roman" w:hAnsi="Times New Roman" w:cs="Times New Roman"/>
        </w:rPr>
        <w:t xml:space="preserve">This occurs because </w:t>
      </w:r>
      <w:r w:rsidR="00610C22">
        <w:rPr>
          <w:rFonts w:ascii="Times New Roman" w:hAnsi="Times New Roman" w:cs="Times New Roman"/>
        </w:rPr>
        <w:t>there is neither a formal integrated protocol to</w:t>
      </w:r>
      <w:r w:rsidRPr="00DC4545">
        <w:rPr>
          <w:rFonts w:ascii="Times New Roman" w:hAnsi="Times New Roman" w:cs="Times New Roman"/>
        </w:rPr>
        <w:t xml:space="preserve"> address the causes of contamination of water sources</w:t>
      </w:r>
      <w:r w:rsidR="00610C22">
        <w:rPr>
          <w:rFonts w:ascii="Times New Roman" w:hAnsi="Times New Roman" w:cs="Times New Roman"/>
        </w:rPr>
        <w:t>,</w:t>
      </w:r>
      <w:r w:rsidRPr="00DC4545">
        <w:rPr>
          <w:rFonts w:ascii="Times New Roman" w:hAnsi="Times New Roman" w:cs="Times New Roman"/>
        </w:rPr>
        <w:t xml:space="preserve"> </w:t>
      </w:r>
      <w:r w:rsidR="00610C22">
        <w:rPr>
          <w:rFonts w:ascii="Times New Roman" w:hAnsi="Times New Roman" w:cs="Times New Roman"/>
        </w:rPr>
        <w:t>nor</w:t>
      </w:r>
      <w:r w:rsidRPr="00DC4545">
        <w:rPr>
          <w:rFonts w:ascii="Times New Roman" w:hAnsi="Times New Roman" w:cs="Times New Roman"/>
        </w:rPr>
        <w:t xml:space="preserve"> the monitoring measurement, evaluation and response </w:t>
      </w:r>
      <w:r w:rsidR="00610C22">
        <w:rPr>
          <w:rFonts w:ascii="Times New Roman" w:hAnsi="Times New Roman" w:cs="Times New Roman"/>
        </w:rPr>
        <w:t xml:space="preserve">system to </w:t>
      </w:r>
      <w:r w:rsidR="004C2178">
        <w:rPr>
          <w:rFonts w:ascii="Times New Roman" w:hAnsi="Times New Roman" w:cs="Times New Roman"/>
        </w:rPr>
        <w:t>account and diminish</w:t>
      </w:r>
      <w:r w:rsidR="00610C22">
        <w:rPr>
          <w:rFonts w:ascii="Times New Roman" w:hAnsi="Times New Roman" w:cs="Times New Roman"/>
        </w:rPr>
        <w:t xml:space="preserve"> its</w:t>
      </w:r>
      <w:r w:rsidRPr="00DC4545">
        <w:rPr>
          <w:rFonts w:ascii="Times New Roman" w:hAnsi="Times New Roman" w:cs="Times New Roman"/>
        </w:rPr>
        <w:t xml:space="preserve"> impacts.</w:t>
      </w:r>
    </w:p>
    <w:p w14:paraId="262D51F3"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A baseline</w:t>
      </w:r>
      <w:r w:rsidR="002F2C81">
        <w:rPr>
          <w:rFonts w:ascii="Times New Roman" w:hAnsi="Times New Roman" w:cs="Times New Roman"/>
        </w:rPr>
        <w:t xml:space="preserve"> </w:t>
      </w:r>
      <w:r w:rsidRPr="00DC4545">
        <w:rPr>
          <w:rFonts w:ascii="Times New Roman" w:hAnsi="Times New Roman" w:cs="Times New Roman"/>
        </w:rPr>
        <w:t>study com</w:t>
      </w:r>
      <w:r w:rsidR="002F2C81">
        <w:rPr>
          <w:rFonts w:ascii="Times New Roman" w:hAnsi="Times New Roman" w:cs="Times New Roman"/>
        </w:rPr>
        <w:t>missioned in 2013</w:t>
      </w:r>
      <w:r w:rsidRPr="00DC4545">
        <w:rPr>
          <w:rFonts w:ascii="Times New Roman" w:hAnsi="Times New Roman" w:cs="Times New Roman"/>
        </w:rPr>
        <w:t xml:space="preserve"> by the Organization of American States</w:t>
      </w:r>
      <w:r w:rsidR="0032751C">
        <w:rPr>
          <w:rStyle w:val="FootnoteReference"/>
          <w:rFonts w:ascii="Times New Roman" w:hAnsi="Times New Roman" w:cs="Times New Roman"/>
        </w:rPr>
        <w:footnoteReference w:id="11"/>
      </w:r>
      <w:r w:rsidRPr="00DC4545">
        <w:rPr>
          <w:rFonts w:ascii="Times New Roman" w:hAnsi="Times New Roman" w:cs="Times New Roman"/>
        </w:rPr>
        <w:t xml:space="preserve"> was undertaken in order to assess the impact of discharges coming from the Beausejour and connected rivers that might have an impact on coral reefs in the Beausejour /Moliniere MPA.  The study reported: (1) sedimentation levels decreased with distance from the main river mouth discharge point; (ii) a eutrophication gradient assessment in the Beausejour river showed phosphate and ammonia concentrations increasing with increasing distance down river with all phosphate and ammonia concentrations exceeding maximum allowed levels recommended by the Caribbean Environmental Health Institute; (iii)   phosphate levels exceeded maximum </w:t>
      </w:r>
      <w:r w:rsidR="004C2178">
        <w:rPr>
          <w:rFonts w:ascii="Times New Roman" w:hAnsi="Times New Roman" w:cs="Times New Roman"/>
        </w:rPr>
        <w:t xml:space="preserve">levels </w:t>
      </w:r>
      <w:r w:rsidRPr="00DC4545">
        <w:rPr>
          <w:rFonts w:ascii="Times New Roman" w:hAnsi="Times New Roman" w:cs="Times New Roman"/>
        </w:rPr>
        <w:t xml:space="preserve">recommended by CEHI for marine coastal waters, observed at a number of points; (iv) </w:t>
      </w:r>
      <w:r w:rsidR="004C2178">
        <w:rPr>
          <w:rFonts w:ascii="Times New Roman" w:hAnsi="Times New Roman" w:cs="Times New Roman"/>
        </w:rPr>
        <w:t>identification of which agriculture land use and</w:t>
      </w:r>
      <w:r w:rsidRPr="00DC4545">
        <w:rPr>
          <w:rFonts w:ascii="Times New Roman" w:hAnsi="Times New Roman" w:cs="Times New Roman"/>
        </w:rPr>
        <w:t xml:space="preserve"> domestic activities </w:t>
      </w:r>
      <w:r w:rsidR="004C2178">
        <w:rPr>
          <w:rFonts w:ascii="Times New Roman" w:hAnsi="Times New Roman" w:cs="Times New Roman"/>
        </w:rPr>
        <w:t xml:space="preserve">are </w:t>
      </w:r>
      <w:r w:rsidRPr="00DC4545">
        <w:rPr>
          <w:rFonts w:ascii="Times New Roman" w:hAnsi="Times New Roman" w:cs="Times New Roman"/>
        </w:rPr>
        <w:t>considered the most likely cause</w:t>
      </w:r>
      <w:r w:rsidR="004C2178">
        <w:rPr>
          <w:rFonts w:ascii="Times New Roman" w:hAnsi="Times New Roman" w:cs="Times New Roman"/>
        </w:rPr>
        <w:t>s</w:t>
      </w:r>
      <w:r w:rsidRPr="00DC4545">
        <w:rPr>
          <w:rFonts w:ascii="Times New Roman" w:hAnsi="Times New Roman" w:cs="Times New Roman"/>
        </w:rPr>
        <w:t xml:space="preserve"> of the types of pollution</w:t>
      </w:r>
      <w:r w:rsidR="004C2178">
        <w:rPr>
          <w:rFonts w:ascii="Times New Roman" w:hAnsi="Times New Roman" w:cs="Times New Roman"/>
        </w:rPr>
        <w:t xml:space="preserve"> reported</w:t>
      </w:r>
      <w:r w:rsidRPr="00DC4545">
        <w:rPr>
          <w:rFonts w:ascii="Times New Roman" w:hAnsi="Times New Roman" w:cs="Times New Roman"/>
        </w:rPr>
        <w:t>.  Hence</w:t>
      </w:r>
      <w:r w:rsidR="004C2178">
        <w:rPr>
          <w:rFonts w:ascii="Times New Roman" w:hAnsi="Times New Roman" w:cs="Times New Roman"/>
        </w:rPr>
        <w:t>,</w:t>
      </w:r>
      <w:r w:rsidRPr="00DC4545">
        <w:rPr>
          <w:rFonts w:ascii="Times New Roman" w:hAnsi="Times New Roman" w:cs="Times New Roman"/>
        </w:rPr>
        <w:t xml:space="preserve"> </w:t>
      </w:r>
      <w:r w:rsidR="004C2178">
        <w:rPr>
          <w:rFonts w:ascii="Times New Roman" w:hAnsi="Times New Roman" w:cs="Times New Roman"/>
        </w:rPr>
        <w:t xml:space="preserve">project interventions in the Beausejour </w:t>
      </w:r>
      <w:r w:rsidR="000D1D43">
        <w:rPr>
          <w:rFonts w:ascii="Times New Roman" w:hAnsi="Times New Roman" w:cs="Times New Roman"/>
        </w:rPr>
        <w:t>will have the potential to provide</w:t>
      </w:r>
      <w:r w:rsidR="004C2178">
        <w:rPr>
          <w:rFonts w:ascii="Times New Roman" w:hAnsi="Times New Roman" w:cs="Times New Roman"/>
        </w:rPr>
        <w:t xml:space="preserve"> crucial lessons </w:t>
      </w:r>
      <w:r w:rsidR="000D1D43">
        <w:rPr>
          <w:rFonts w:ascii="Times New Roman" w:hAnsi="Times New Roman" w:cs="Times New Roman"/>
        </w:rPr>
        <w:t>for future replication</w:t>
      </w:r>
      <w:r w:rsidR="004C2178">
        <w:rPr>
          <w:rFonts w:ascii="Times New Roman" w:hAnsi="Times New Roman" w:cs="Times New Roman"/>
        </w:rPr>
        <w:t xml:space="preserve"> w</w:t>
      </w:r>
      <w:r w:rsidRPr="00DC4545">
        <w:rPr>
          <w:rFonts w:ascii="Times New Roman" w:hAnsi="Times New Roman" w:cs="Times New Roman"/>
        </w:rPr>
        <w:t xml:space="preserve">here </w:t>
      </w:r>
      <w:r w:rsidR="004C2178">
        <w:rPr>
          <w:rFonts w:ascii="Times New Roman" w:hAnsi="Times New Roman" w:cs="Times New Roman"/>
        </w:rPr>
        <w:t>the island landscapes and water</w:t>
      </w:r>
      <w:r w:rsidRPr="00DC4545">
        <w:rPr>
          <w:rFonts w:ascii="Times New Roman" w:hAnsi="Times New Roman" w:cs="Times New Roman"/>
        </w:rPr>
        <w:t xml:space="preserve">sheds are highly similar to the one at Beausejour </w:t>
      </w:r>
      <w:r w:rsidR="004C2178">
        <w:rPr>
          <w:rFonts w:ascii="Times New Roman" w:hAnsi="Times New Roman" w:cs="Times New Roman"/>
        </w:rPr>
        <w:t xml:space="preserve">and </w:t>
      </w:r>
      <w:r w:rsidRPr="00DC4545">
        <w:rPr>
          <w:rFonts w:ascii="Times New Roman" w:hAnsi="Times New Roman" w:cs="Times New Roman"/>
        </w:rPr>
        <w:t xml:space="preserve">where farming and domestic activities prevail. </w:t>
      </w:r>
    </w:p>
    <w:p w14:paraId="768E2D39" w:rsidR="00133632" w:rsidRPr="00DC4545" w:rsidRDefault="006C24E2" w:rsidP="009C3E04">
      <w:pPr>
        <w:pStyle w:val="Heading3"/>
      </w:pPr>
      <w:bookmarkStart w:id="18" w:name="_Toc389820957"/>
      <w:r>
        <w:t xml:space="preserve">1.B.3. </w:t>
      </w:r>
      <w:r w:rsidR="00133632" w:rsidRPr="00DC4545">
        <w:t>Long Term Solution:</w:t>
      </w:r>
      <w:bookmarkEnd w:id="18"/>
    </w:p>
    <w:p w14:paraId="6F2CC7D9"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long term solution for ensuring that biodiversity and ecosystems functions are protected against the multiple threats within and around PAs </w:t>
      </w:r>
      <w:r w:rsidR="000D1D43">
        <w:rPr>
          <w:rFonts w:ascii="Times New Roman" w:hAnsi="Times New Roman" w:cs="Times New Roman"/>
        </w:rPr>
        <w:t>resides in the application of</w:t>
      </w:r>
      <w:r w:rsidRPr="00DC4545">
        <w:rPr>
          <w:rFonts w:ascii="Times New Roman" w:hAnsi="Times New Roman" w:cs="Times New Roman"/>
        </w:rPr>
        <w:t xml:space="preserve"> a suite of management and conservation measures using the “Ridge to Reef” approach that increases PA management effectiveness and applies targeted </w:t>
      </w:r>
      <w:r w:rsidR="000A1BAC">
        <w:rPr>
          <w:rFonts w:ascii="Times New Roman" w:hAnsi="Times New Roman" w:cs="Times New Roman"/>
        </w:rPr>
        <w:t>SLM</w:t>
      </w:r>
      <w:r w:rsidRPr="00DC4545">
        <w:rPr>
          <w:rFonts w:ascii="Times New Roman" w:hAnsi="Times New Roman" w:cs="Times New Roman"/>
        </w:rPr>
        <w:t xml:space="preserve"> practices that </w:t>
      </w:r>
      <w:r w:rsidR="000A1BAC">
        <w:rPr>
          <w:rFonts w:ascii="Times New Roman" w:hAnsi="Times New Roman" w:cs="Times New Roman"/>
        </w:rPr>
        <w:t>engage</w:t>
      </w:r>
      <w:r w:rsidRPr="00DC4545">
        <w:rPr>
          <w:rFonts w:ascii="Times New Roman" w:hAnsi="Times New Roman" w:cs="Times New Roman"/>
        </w:rPr>
        <w:t xml:space="preserve"> civil society with Government Competent Authorities </w:t>
      </w:r>
      <w:r w:rsidR="000A1BAC">
        <w:rPr>
          <w:rFonts w:ascii="Times New Roman" w:hAnsi="Times New Roman" w:cs="Times New Roman"/>
        </w:rPr>
        <w:t>in innovative</w:t>
      </w:r>
      <w:r w:rsidRPr="00DC4545">
        <w:rPr>
          <w:rFonts w:ascii="Times New Roman" w:hAnsi="Times New Roman" w:cs="Times New Roman"/>
        </w:rPr>
        <w:t xml:space="preserve"> co-management </w:t>
      </w:r>
      <w:r w:rsidR="000A1BAC">
        <w:rPr>
          <w:rFonts w:ascii="Times New Roman" w:hAnsi="Times New Roman" w:cs="Times New Roman"/>
        </w:rPr>
        <w:t>arrangements</w:t>
      </w:r>
      <w:r w:rsidRPr="00DC4545">
        <w:rPr>
          <w:rFonts w:ascii="Times New Roman" w:hAnsi="Times New Roman" w:cs="Times New Roman"/>
        </w:rPr>
        <w:t xml:space="preserve">.  </w:t>
      </w:r>
    </w:p>
    <w:p w14:paraId="5F1DC8CA" w:rsidR="00133632" w:rsidRPr="00DC4545" w:rsidRDefault="006C24E2" w:rsidP="009C3E04">
      <w:pPr>
        <w:pStyle w:val="Heading3"/>
      </w:pPr>
      <w:bookmarkStart w:id="19" w:name="_Toc389820958"/>
      <w:r>
        <w:t xml:space="preserve">1.B.4. </w:t>
      </w:r>
      <w:r w:rsidR="00383510">
        <w:t>Barrier</w:t>
      </w:r>
      <w:r w:rsidR="00133632" w:rsidRPr="00DC4545">
        <w:t xml:space="preserve"> Analysis</w:t>
      </w:r>
      <w:bookmarkEnd w:id="19"/>
    </w:p>
    <w:p w14:paraId="0D776545" w:rsidR="00133632" w:rsidRPr="00DC4545" w:rsidRDefault="00133632" w:rsidP="009C3E04">
      <w:pPr>
        <w:pStyle w:val="NoSpacing"/>
        <w:rPr>
          <w:rFonts w:ascii="Times New Roman" w:hAnsi="Times New Roman" w:cs="Times New Roman"/>
        </w:rPr>
      </w:pPr>
    </w:p>
    <w:p w14:paraId="386A3892" w:rsidR="00133632" w:rsidRPr="00CC5C3C" w:rsidRDefault="00243545" w:rsidP="00CA416F">
      <w:pPr>
        <w:pStyle w:val="ListParagraph"/>
        <w:numPr>
          <w:ilvl w:val="0"/>
          <w:numId w:val="27"/>
        </w:numPr>
        <w:spacing w:after="240" w:line="240" w:lineRule="auto"/>
        <w:ind w:left="0" w:firstLine="0"/>
        <w:contextualSpacing w:val="0"/>
        <w:rPr>
          <w:rFonts w:ascii="Times New Roman" w:hAnsi="Times New Roman" w:cs="Times New Roman"/>
        </w:rPr>
      </w:pPr>
      <w:r>
        <w:rPr>
          <w:rFonts w:ascii="Times New Roman" w:hAnsi="Times New Roman" w:cs="Times New Roman"/>
        </w:rPr>
        <w:t>However, the following barriers stand in the way to achieving this long term solution</w:t>
      </w:r>
      <w:r w:rsidR="00133632" w:rsidRPr="00CC5C3C">
        <w:rPr>
          <w:rFonts w:ascii="Times New Roman" w:hAnsi="Times New Roman" w:cs="Times New Roman"/>
        </w:rPr>
        <w:t>:</w:t>
      </w:r>
    </w:p>
    <w:p w14:paraId="75A2E2EE" w:rsidR="00133632" w:rsidRPr="00DC4545" w:rsidRDefault="00383510" w:rsidP="009C3E04">
      <w:pPr>
        <w:pStyle w:val="Heading4"/>
      </w:pPr>
      <w:r>
        <w:t xml:space="preserve">1. </w:t>
      </w:r>
      <w:r w:rsidR="00133632" w:rsidRPr="00DC4545">
        <w:t xml:space="preserve">Lack of </w:t>
      </w:r>
      <w:r w:rsidR="00243545">
        <w:t>a</w:t>
      </w:r>
      <w:r w:rsidR="00133632" w:rsidRPr="00DC4545">
        <w:t xml:space="preserve"> systemic approach and mechanisms for Protected Areas management and insufficient geographic coverage of TPAs and MPAs:</w:t>
      </w:r>
    </w:p>
    <w:p w14:paraId="69AF73CF" w:rsidR="00133632" w:rsidRPr="00DC4545" w:rsidRDefault="00133632" w:rsidP="009C3E04">
      <w:pPr>
        <w:pStyle w:val="NoSpacing"/>
        <w:rPr>
          <w:rFonts w:ascii="Times New Roman" w:hAnsi="Times New Roman" w:cs="Times New Roman"/>
        </w:rPr>
      </w:pPr>
    </w:p>
    <w:p w14:paraId="536B7CB8" w:rsidR="00243545" w:rsidRDefault="0024354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43545">
        <w:rPr>
          <w:rFonts w:ascii="Times New Roman" w:hAnsi="Times New Roman" w:cs="Times New Roman"/>
        </w:rPr>
        <w:t>The mainstreaming of biodiversity into national policies, including the 2010 Protected Areas Systems Plan (PASP)</w:t>
      </w:r>
      <w:r>
        <w:rPr>
          <w:rStyle w:val="FootnoteReference"/>
          <w:rFonts w:ascii="Times New Roman" w:hAnsi="Times New Roman" w:cs="Times New Roman"/>
        </w:rPr>
        <w:footnoteReference w:id="12"/>
      </w:r>
      <w:r w:rsidRPr="00243545">
        <w:rPr>
          <w:rFonts w:ascii="Times New Roman" w:hAnsi="Times New Roman" w:cs="Times New Roman"/>
        </w:rPr>
        <w:t xml:space="preserve">, has received only tacit support from decision makers at the national level. </w:t>
      </w:r>
      <w:r w:rsidRPr="00243545">
        <w:rPr>
          <w:rFonts w:ascii="Times New Roman" w:hAnsi="Times New Roman" w:cs="Times New Roman"/>
          <w:lang w:val="en-CA"/>
        </w:rPr>
        <w:t>Policy</w:t>
      </w:r>
      <w:r w:rsidRPr="00243545">
        <w:rPr>
          <w:rFonts w:ascii="Times New Roman" w:hAnsi="Times New Roman" w:cs="Times New Roman"/>
        </w:rPr>
        <w:t xml:space="preserve"> direction for protected areas is generally dependent on existing legislation, which</w:t>
      </w:r>
      <w:r>
        <w:rPr>
          <w:rFonts w:ascii="Times New Roman" w:hAnsi="Times New Roman" w:cs="Times New Roman"/>
        </w:rPr>
        <w:t xml:space="preserve"> </w:t>
      </w:r>
      <w:r w:rsidRPr="00243545">
        <w:rPr>
          <w:rFonts w:ascii="Times New Roman" w:hAnsi="Times New Roman" w:cs="Times New Roman"/>
        </w:rPr>
        <w:t>only addresses the three existing Forest Reserves, and there are no</w:t>
      </w:r>
      <w:r>
        <w:rPr>
          <w:rFonts w:ascii="Times New Roman" w:hAnsi="Times New Roman" w:cs="Times New Roman"/>
        </w:rPr>
        <w:t xml:space="preserve"> </w:t>
      </w:r>
      <w:r w:rsidRPr="00243545">
        <w:rPr>
          <w:rFonts w:ascii="Times New Roman" w:hAnsi="Times New Roman" w:cs="Times New Roman"/>
          <w:lang w:val="en-CA"/>
        </w:rPr>
        <w:t>comprehensive policies for the conservation of biodiversity</w:t>
      </w:r>
      <w:r>
        <w:rPr>
          <w:rFonts w:ascii="Times New Roman" w:hAnsi="Times New Roman" w:cs="Times New Roman"/>
          <w:lang w:val="en-CA"/>
        </w:rPr>
        <w:t xml:space="preserve"> </w:t>
      </w:r>
      <w:r w:rsidRPr="00243545">
        <w:rPr>
          <w:rFonts w:ascii="Times New Roman" w:hAnsi="Times New Roman" w:cs="Times New Roman"/>
          <w:lang w:val="en-CA"/>
        </w:rPr>
        <w:t>within marine and terrestrial PAs,</w:t>
      </w:r>
      <w:r>
        <w:rPr>
          <w:rFonts w:ascii="Times New Roman" w:hAnsi="Times New Roman" w:cs="Times New Roman"/>
          <w:lang w:val="en-CA"/>
        </w:rPr>
        <w:t xml:space="preserve"> </w:t>
      </w:r>
      <w:r w:rsidRPr="00243545">
        <w:rPr>
          <w:rFonts w:ascii="Times New Roman" w:hAnsi="Times New Roman" w:cs="Times New Roman"/>
          <w:lang w:val="en-CA"/>
        </w:rPr>
        <w:t xml:space="preserve">or for management of visitors and those whose livelihoods, in whole or in part, depend on </w:t>
      </w:r>
      <w:r w:rsidRPr="00243545">
        <w:rPr>
          <w:rFonts w:ascii="Times New Roman" w:hAnsi="Times New Roman" w:cs="Times New Roman"/>
        </w:rPr>
        <w:t>PAs.</w:t>
      </w:r>
      <w:r>
        <w:rPr>
          <w:rFonts w:ascii="Times New Roman" w:hAnsi="Times New Roman" w:cs="Times New Roman"/>
        </w:rPr>
        <w:t xml:space="preserve">  </w:t>
      </w:r>
      <w:r w:rsidRPr="00243545">
        <w:rPr>
          <w:rFonts w:ascii="Times New Roman" w:hAnsi="Times New Roman" w:cs="Times New Roman"/>
        </w:rPr>
        <w:t xml:space="preserve">Laws and regulations for protected areas management are in place, but these overlap and contradict each other in many ways, and there is a need to consolidate the legal framework based on the draft “Protected Area, Forestry and Wildlife </w:t>
      </w:r>
      <w:r w:rsidR="002A00B4">
        <w:rPr>
          <w:rFonts w:ascii="Times New Roman" w:hAnsi="Times New Roman" w:cs="Times New Roman"/>
        </w:rPr>
        <w:t>Bill</w:t>
      </w:r>
      <w:r w:rsidRPr="00243545">
        <w:rPr>
          <w:rFonts w:ascii="Times New Roman" w:hAnsi="Times New Roman" w:cs="Times New Roman"/>
        </w:rPr>
        <w:t>”, and to strengthen enforcement mechanisms (particularly for wildlife conservation).  Another priority is to establish legal mechanisms that allow for tax benefits to be granted to persons willing to donate lands to the PA system</w:t>
      </w:r>
      <w:r>
        <w:rPr>
          <w:rFonts w:ascii="Times New Roman" w:hAnsi="Times New Roman" w:cs="Times New Roman"/>
        </w:rPr>
        <w:t xml:space="preserve"> </w:t>
      </w:r>
      <w:r w:rsidRPr="00243545">
        <w:rPr>
          <w:rFonts w:ascii="Times New Roman" w:hAnsi="Times New Roman" w:cs="Times New Roman"/>
        </w:rPr>
        <w:t xml:space="preserve">and/or to establish conservation covenants on their lands; with over 85% of Grenada in private ownership, including all of the islands within the proposed marine protected areas, expansion of the PA system will require significant contributions from private owners.  This is an important factor because the existing PA system does not adequately represent Grenada’s ecological diversity; of 26 environments classified in Grenada, only three terrestrial environments (cloud forest, transitional cloud forest and evergreen forest) currently meet the target of 25% or more representation as expressed in the Grenada Declaration.  </w:t>
      </w:r>
    </w:p>
    <w:p w14:paraId="4291CCF1" w:rsidR="00243545" w:rsidRDefault="0024354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43545">
        <w:rPr>
          <w:rFonts w:ascii="Times New Roman" w:hAnsi="Times New Roman" w:cs="Times New Roman"/>
        </w:rPr>
        <w:t xml:space="preserve">Another </w:t>
      </w:r>
      <w:r w:rsidR="0073431E">
        <w:rPr>
          <w:rFonts w:ascii="Times New Roman" w:hAnsi="Times New Roman" w:cs="Times New Roman"/>
        </w:rPr>
        <w:t>issue</w:t>
      </w:r>
      <w:r w:rsidRPr="00243545">
        <w:rPr>
          <w:rFonts w:ascii="Times New Roman" w:hAnsi="Times New Roman" w:cs="Times New Roman"/>
        </w:rPr>
        <w:t xml:space="preserve"> is the absence of effective structures to coordinate the activities of disparate agencies involved in PA management, including the Department of Fisheries, the Department of Forestry and National Parks, and the Ministry of Tourism, who typically fail to coordinate their activities</w:t>
      </w:r>
      <w:r>
        <w:rPr>
          <w:rFonts w:ascii="Times New Roman" w:hAnsi="Times New Roman" w:cs="Times New Roman"/>
        </w:rPr>
        <w:t xml:space="preserve"> </w:t>
      </w:r>
      <w:r w:rsidRPr="00243545">
        <w:rPr>
          <w:rFonts w:ascii="Times New Roman" w:hAnsi="Times New Roman" w:cs="Times New Roman"/>
        </w:rPr>
        <w:t>(for example, there is no coordination between management of forests within PAs and neighbouring productive landscape forests and forest fragments to ensure ecological connectivity, prevent fires, etc.), as well as a lack of institutional capacity for activities such as public education, enforcement and monitoring.</w:t>
      </w:r>
      <w:r>
        <w:rPr>
          <w:rFonts w:ascii="Times New Roman" w:hAnsi="Times New Roman" w:cs="Times New Roman"/>
        </w:rPr>
        <w:t xml:space="preserve"> </w:t>
      </w:r>
      <w:r w:rsidRPr="00243545">
        <w:rPr>
          <w:rFonts w:ascii="Times New Roman" w:hAnsi="Times New Roman" w:cs="Times New Roman"/>
        </w:rPr>
        <w:t xml:space="preserve">Furthermore, while Grenada has recently expressed its intention to initiate community co-management of both terrestrial and marine PAs, as yet there is no experience with this approach among PA managers or local communities.  </w:t>
      </w:r>
    </w:p>
    <w:p w14:paraId="577A5910" w:rsidR="00243545" w:rsidRDefault="0024354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43545">
        <w:rPr>
          <w:rFonts w:ascii="Times New Roman" w:hAnsi="Times New Roman" w:cs="Times New Roman"/>
        </w:rPr>
        <w:t xml:space="preserve">Financing for protected areas is another key </w:t>
      </w:r>
      <w:r w:rsidR="0073431E">
        <w:rPr>
          <w:rFonts w:ascii="Times New Roman" w:hAnsi="Times New Roman" w:cs="Times New Roman"/>
        </w:rPr>
        <w:t>issue:</w:t>
      </w:r>
      <w:r w:rsidRPr="00243545">
        <w:rPr>
          <w:rFonts w:ascii="Times New Roman" w:hAnsi="Times New Roman" w:cs="Times New Roman"/>
        </w:rPr>
        <w:t xml:space="preserve"> at present, the Government of Grenada spends US$1.8 million/year on PA management, which will not be sufficient to enable an effective expansion of the PA system (it is estimated that a total of 40 PA units will be in place when Grenada reaches its goal of 25% coverage).  In addition to insufficient government budget allocations, other </w:t>
      </w:r>
      <w:r w:rsidR="0073431E">
        <w:rPr>
          <w:rFonts w:ascii="Times New Roman" w:hAnsi="Times New Roman" w:cs="Times New Roman"/>
        </w:rPr>
        <w:t>factors</w:t>
      </w:r>
      <w:r w:rsidRPr="00243545">
        <w:rPr>
          <w:rFonts w:ascii="Times New Roman" w:hAnsi="Times New Roman" w:cs="Times New Roman"/>
        </w:rPr>
        <w:t xml:space="preserve"> include the lack of a PA system business plan to increase efficiencies and prioritize use of financial resources, and the existing practice whereby visitor fees are not retained by PA units or management agencies but instead go into the government’s consolidated fund.  Finally, management of protected areas is constrained by a lack of information on the status and trends of Grenada’s ecosystems, including information on changes in ecosystem coverage over time, composition of ecosystems and functions of various ecosystems services, and changes in species abundance and distribution.</w:t>
      </w:r>
    </w:p>
    <w:p w14:paraId="7291CC95"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specific </w:t>
      </w:r>
      <w:r w:rsidR="0073431E">
        <w:rPr>
          <w:rFonts w:ascii="Times New Roman" w:hAnsi="Times New Roman" w:cs="Times New Roman"/>
        </w:rPr>
        <w:t>constraints</w:t>
      </w:r>
      <w:r w:rsidRPr="00DC4545">
        <w:rPr>
          <w:rFonts w:ascii="Times New Roman" w:hAnsi="Times New Roman" w:cs="Times New Roman"/>
        </w:rPr>
        <w:t xml:space="preserve"> to</w:t>
      </w:r>
      <w:r w:rsidR="0073431E">
        <w:rPr>
          <w:rFonts w:ascii="Times New Roman" w:hAnsi="Times New Roman" w:cs="Times New Roman"/>
        </w:rPr>
        <w:t xml:space="preserve"> implementing</w:t>
      </w:r>
      <w:r w:rsidRPr="00DC4545">
        <w:rPr>
          <w:rFonts w:ascii="Times New Roman" w:hAnsi="Times New Roman" w:cs="Times New Roman"/>
        </w:rPr>
        <w:t xml:space="preserve"> INRM therefore </w:t>
      </w:r>
      <w:r w:rsidR="002A00B4">
        <w:rPr>
          <w:rFonts w:ascii="Times New Roman" w:hAnsi="Times New Roman" w:cs="Times New Roman"/>
        </w:rPr>
        <w:t>include</w:t>
      </w:r>
      <w:r w:rsidRPr="00DC4545">
        <w:rPr>
          <w:rFonts w:ascii="Times New Roman" w:hAnsi="Times New Roman" w:cs="Times New Roman"/>
        </w:rPr>
        <w:t>:  (a) Lack of sufficient “command and control” of lands by government for the greater leadership role in INR</w:t>
      </w:r>
      <w:r w:rsidR="002A00B4">
        <w:rPr>
          <w:rFonts w:ascii="Times New Roman" w:hAnsi="Times New Roman" w:cs="Times New Roman"/>
        </w:rPr>
        <w:t>M; (b) Constraints for adopting</w:t>
      </w:r>
      <w:r w:rsidRPr="00DC4545">
        <w:rPr>
          <w:rFonts w:ascii="Times New Roman" w:hAnsi="Times New Roman" w:cs="Times New Roman"/>
        </w:rPr>
        <w:t xml:space="preserve"> consistent public policy options that allow incorporation of private forest</w:t>
      </w:r>
      <w:r w:rsidR="002A00B4">
        <w:rPr>
          <w:rFonts w:ascii="Times New Roman" w:hAnsi="Times New Roman" w:cs="Times New Roman"/>
        </w:rPr>
        <w:t>ed lands into an integrated PA</w:t>
      </w:r>
      <w:r w:rsidRPr="00DC4545">
        <w:rPr>
          <w:rFonts w:ascii="Times New Roman" w:hAnsi="Times New Roman" w:cs="Times New Roman"/>
        </w:rPr>
        <w:t xml:space="preserve"> network; (c) Lack of historical experience with a model for co-management with respect to BD conservation and eco-system services/functions as Eco-assets; (d) Absence of effective structures to coordinate the activities of disparate agencies of Government that must necessarily be involved in PAs management; (e) Lack of sufficient coordination between management of forests within PAs and neighboring landscapes that provide contesting eco-systems services such as water source versus agricultural services and prevents forest fragmentation for ensuring ecological connectivity; plus, (f) Lack of institutional capacity for public education enforcement and monitoring; (g) Lack of priority and sufficient financing for BD conservation and eco-systems services; (h) Lack of tracking concerning the </w:t>
      </w:r>
      <w:r w:rsidRPr="00DC4545">
        <w:rPr>
          <w:rFonts w:ascii="Times New Roman" w:hAnsi="Times New Roman" w:cs="Times New Roman"/>
          <w:i/>
        </w:rPr>
        <w:t>status</w:t>
      </w:r>
      <w:r w:rsidRPr="00DC4545">
        <w:rPr>
          <w:rFonts w:ascii="Times New Roman" w:hAnsi="Times New Roman" w:cs="Times New Roman"/>
        </w:rPr>
        <w:t xml:space="preserve"> and </w:t>
      </w:r>
      <w:r w:rsidRPr="00DC4545">
        <w:rPr>
          <w:rFonts w:ascii="Times New Roman" w:hAnsi="Times New Roman" w:cs="Times New Roman"/>
          <w:i/>
        </w:rPr>
        <w:t>trends</w:t>
      </w:r>
      <w:r w:rsidRPr="00DC4545">
        <w:rPr>
          <w:rFonts w:ascii="Times New Roman" w:hAnsi="Times New Roman" w:cs="Times New Roman"/>
        </w:rPr>
        <w:t xml:space="preserve"> at eco-systems, as starting point for responses to both anthropogenic  and natural threats on BD and ecosystems functions.</w:t>
      </w:r>
    </w:p>
    <w:p w14:paraId="1CEB9C4E" w:rsidR="00133632" w:rsidRPr="00DC4545" w:rsidRDefault="00133632" w:rsidP="009C3E04">
      <w:pPr>
        <w:pStyle w:val="NoSpacing"/>
        <w:rPr>
          <w:rFonts w:ascii="Times New Roman" w:hAnsi="Times New Roman" w:cs="Times New Roman"/>
        </w:rPr>
      </w:pPr>
    </w:p>
    <w:p w14:paraId="4A74E043" w:rsidR="00133632" w:rsidRPr="00DC4545" w:rsidRDefault="00133632" w:rsidP="009C3E04">
      <w:pPr>
        <w:pStyle w:val="Heading4"/>
      </w:pPr>
      <w:r w:rsidRPr="0073431E">
        <w:t>2</w:t>
      </w:r>
      <w:r w:rsidR="00383510" w:rsidRPr="0073431E">
        <w:t>.</w:t>
      </w:r>
      <w:r w:rsidRPr="0073431E">
        <w:t xml:space="preserve"> Insufficient Planning and T</w:t>
      </w:r>
      <w:r w:rsidR="002A00B4" w:rsidRPr="0073431E">
        <w:t>echnical Capacities for Landscape</w:t>
      </w:r>
      <w:r w:rsidRPr="0073431E">
        <w:t xml:space="preserve"> Level Resource Management:</w:t>
      </w:r>
    </w:p>
    <w:p w14:paraId="1B760EDF" w:rsidR="00133632" w:rsidRPr="00DC4545" w:rsidRDefault="00133632" w:rsidP="009C3E04">
      <w:pPr>
        <w:pStyle w:val="NoSpacing"/>
        <w:rPr>
          <w:rFonts w:ascii="Times New Roman" w:hAnsi="Times New Roman" w:cs="Times New Roman"/>
        </w:rPr>
      </w:pPr>
    </w:p>
    <w:p w14:paraId="1E8E172A" w:rsidR="0073431E" w:rsidRDefault="002A00B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A00B4">
        <w:rPr>
          <w:rFonts w:ascii="Times New Roman" w:hAnsi="Times New Roman" w:cs="Times New Roman"/>
        </w:rPr>
        <w:t>Existing National Forest Policy does not incorporate climate change related objectives (e.g. carbon sequestration), and legislation to support the policy is still in draft form, so that forest management currently relies on many decades old legal framework (in addition, existing regulations for forest management do not apply to private lands).</w:t>
      </w:r>
      <w:r w:rsidR="00CD6C0C">
        <w:rPr>
          <w:rFonts w:ascii="Times New Roman" w:hAnsi="Times New Roman" w:cs="Times New Roman"/>
        </w:rPr>
        <w:t xml:space="preserve"> </w:t>
      </w:r>
      <w:r w:rsidRPr="002A00B4">
        <w:rPr>
          <w:rFonts w:ascii="Times New Roman" w:hAnsi="Times New Roman" w:cs="Times New Roman"/>
        </w:rPr>
        <w:t xml:space="preserve">The separation of institutional authority and regulatory frameworks between protected areas and the broader landscape, and additionally between terrestrial and marine protected areas, act as a barrier to an integrated landscape level (“ridge to reef”) approach to managing Grenada’s territory and resources.  There is no central entity with oversight for land development decisions; coordination between the many agencies responsible for environmental management is weak; and in some cases there are overlaps in jurisdiction or no clear competent authority (for example regarding regulations to control development in mangroves and coastal wetlands Grenada’s National Physical Development Plan has limited policies and regulations, and even fewer enforcement mechanisms, to support sustainable land management, while the Physical Planning and Development Act makes no reference at all to conservation and sustainable use of biodiversity.  In general, land use planning and management processes in Grenada do not take into consideration the maintenance of ecosystem services for the benefit of biodiversity or ecosystem functioning.  Many private land owners, including those living in areas bordering PAs, can develop their lands with few restrictions and no need for compliance with land management plans, and land owners are not required by law to implement proper land management practices (e.g. there are no controls on grazing).  </w:t>
      </w:r>
    </w:p>
    <w:p w14:paraId="7C9BA184" w:rsidR="0073431E" w:rsidRDefault="002A00B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A00B4">
        <w:rPr>
          <w:rFonts w:ascii="Times New Roman" w:hAnsi="Times New Roman" w:cs="Times New Roman"/>
        </w:rPr>
        <w:t xml:space="preserve">Insufficient financing of SLM and SFM activities is another </w:t>
      </w:r>
      <w:r w:rsidR="0073431E">
        <w:rPr>
          <w:rFonts w:ascii="Times New Roman" w:hAnsi="Times New Roman" w:cs="Times New Roman"/>
        </w:rPr>
        <w:t>constraint:</w:t>
      </w:r>
      <w:r w:rsidRPr="002A00B4">
        <w:rPr>
          <w:rFonts w:ascii="Times New Roman" w:hAnsi="Times New Roman" w:cs="Times New Roman"/>
        </w:rPr>
        <w:t xml:space="preserve"> funding limitations mean that field activities of the MAFF</w:t>
      </w:r>
      <w:r w:rsidR="0073431E">
        <w:rPr>
          <w:rFonts w:ascii="Times New Roman" w:hAnsi="Times New Roman" w:cs="Times New Roman"/>
        </w:rPr>
        <w:t xml:space="preserve"> </w:t>
      </w:r>
      <w:r w:rsidRPr="002A00B4">
        <w:rPr>
          <w:rFonts w:ascii="Times New Roman" w:hAnsi="Times New Roman" w:cs="Times New Roman"/>
        </w:rPr>
        <w:t xml:space="preserve">are limited to outreach programs focused on crop/livestock production and controlling illegal activities within forest reserves, and no programs are in place for activities to conserve ecosystem services, including research and monitoring. Capacities for forest management are also a limiting factor; forestry personnel require more technical training and better equipment. Another challenge is poor access to information on the status of land resources and ecosystem functions, which constrains both national level planning and the design and execution of appropriate watershed management interventions.  Among the agencies that generate and utilize spatial information products (the Land Use Division of the Ministry of Agriculture; the Physical Planning Unit and the Cadastral Surveys Unit), systems of data collection, storage and dissemination are poorly coordinated and largely incompatible.  </w:t>
      </w:r>
    </w:p>
    <w:p w14:paraId="33979BEC" w:rsidR="002A00B4" w:rsidRDefault="002A00B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A00B4">
        <w:rPr>
          <w:rFonts w:ascii="Times New Roman" w:hAnsi="Times New Roman" w:cs="Times New Roman"/>
        </w:rPr>
        <w:t>Finally, lack of awareness among farmers of viable SLM approaches inhibits the uptake of practices and technologies aimed at mitigating land degradation.  In addition, environmental management is largely seen as the domain of government, and as a result a culture of conservation is not present in the utilization of land resources, directly leading to problems such as degradation of steep slopes through poor farming practices, and destruction of mangrove ecosystems for marine development projects.</w:t>
      </w:r>
    </w:p>
    <w:p w14:paraId="0010A169" w:rsidR="00CC5C3C"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C5C3C">
        <w:rPr>
          <w:rFonts w:ascii="Times New Roman" w:hAnsi="Times New Roman" w:cs="Times New Roman"/>
        </w:rPr>
        <w:t>Several limitations are identified with prospects for addressing problems concerning conservation and management of BD and ecosystems functions; and also in the context of CC adaptation.  These limitations include</w:t>
      </w:r>
      <w:r w:rsidR="00CC5C3C">
        <w:rPr>
          <w:rFonts w:ascii="Times New Roman" w:hAnsi="Times New Roman" w:cs="Times New Roman"/>
        </w:rPr>
        <w:t>:</w:t>
      </w:r>
    </w:p>
    <w:p w14:paraId="25AEA10D" w:rsidR="00CC5C3C" w:rsidRDefault="0073431E" w:rsidP="00CA416F">
      <w:pPr>
        <w:pStyle w:val="ListParagraph"/>
        <w:numPr>
          <w:ilvl w:val="0"/>
          <w:numId w:val="68"/>
        </w:numPr>
        <w:spacing w:after="240" w:line="240" w:lineRule="auto"/>
        <w:contextualSpacing w:val="0"/>
        <w:jc w:val="both"/>
        <w:rPr>
          <w:rFonts w:ascii="Times New Roman" w:hAnsi="Times New Roman" w:cs="Times New Roman"/>
        </w:rPr>
      </w:pPr>
      <w:r>
        <w:rPr>
          <w:rFonts w:ascii="Times New Roman" w:hAnsi="Times New Roman" w:cs="Times New Roman"/>
        </w:rPr>
        <w:t>L</w:t>
      </w:r>
      <w:r w:rsidR="00133632" w:rsidRPr="00CC5C3C">
        <w:rPr>
          <w:rFonts w:ascii="Times New Roman" w:hAnsi="Times New Roman" w:cs="Times New Roman"/>
        </w:rPr>
        <w:t xml:space="preserve">ack of existing provisions for incorporating a Climate Change objective (e.g. carbon sequestration) and of course with legal requirements for CC responses as policy instruments for effective actions; </w:t>
      </w:r>
    </w:p>
    <w:p w14:paraId="1243930A" w:rsidR="00CC5C3C" w:rsidRDefault="0073431E" w:rsidP="00CA416F">
      <w:pPr>
        <w:pStyle w:val="ListParagraph"/>
        <w:numPr>
          <w:ilvl w:val="0"/>
          <w:numId w:val="68"/>
        </w:numPr>
        <w:spacing w:after="240" w:line="240" w:lineRule="auto"/>
        <w:contextualSpacing w:val="0"/>
        <w:jc w:val="both"/>
        <w:rPr>
          <w:rFonts w:ascii="Times New Roman" w:hAnsi="Times New Roman" w:cs="Times New Roman"/>
        </w:rPr>
      </w:pPr>
      <w:r>
        <w:rPr>
          <w:rFonts w:ascii="Times New Roman" w:hAnsi="Times New Roman" w:cs="Times New Roman"/>
        </w:rPr>
        <w:t>S</w:t>
      </w:r>
      <w:r w:rsidR="00133632" w:rsidRPr="00CC5C3C">
        <w:rPr>
          <w:rFonts w:ascii="Times New Roman" w:hAnsi="Times New Roman" w:cs="Times New Roman"/>
        </w:rPr>
        <w:t xml:space="preserve">eparation of responsibility for TPAs and the adjacent landscapes </w:t>
      </w:r>
      <w:r>
        <w:rPr>
          <w:rFonts w:ascii="Times New Roman" w:hAnsi="Times New Roman" w:cs="Times New Roman"/>
        </w:rPr>
        <w:t>,</w:t>
      </w:r>
      <w:r w:rsidR="00133632" w:rsidRPr="00CC5C3C">
        <w:rPr>
          <w:rFonts w:ascii="Times New Roman" w:hAnsi="Times New Roman" w:cs="Times New Roman"/>
        </w:rPr>
        <w:t xml:space="preserve"> and the separation of authority thereby providing a challenge for the integrated development of PAs in the context of BD and ecosystems functions; </w:t>
      </w:r>
    </w:p>
    <w:p w14:paraId="5AF958BB"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Lack of a central agency for management of all land development since the physical planning development control functions for administration of land settlement seems to be separate from controls for  agriculture promotion and expansion; </w:t>
      </w:r>
    </w:p>
    <w:p w14:paraId="3B5E30AA"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Lack of sufficient authority, law and institutional support to the forestry department for the conservation and management of the BD (and wildlife) and ecosystems services at landscapes, and in general;</w:t>
      </w:r>
    </w:p>
    <w:p w14:paraId="774056E1"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Lack of sufficient ‘command and control’ by government with respect to incorporating the multiplicity of medium-sized land holding into an effective integrated natural resource management (INRM) system in the name of effective BD and ecosyst</w:t>
      </w:r>
      <w:r w:rsidR="00CC5C3C" w:rsidRPr="00CC5C3C">
        <w:rPr>
          <w:rFonts w:ascii="Times New Roman" w:hAnsi="Times New Roman" w:cs="Times New Roman"/>
        </w:rPr>
        <w:t>ems management and conservation;</w:t>
      </w:r>
    </w:p>
    <w:p w14:paraId="4456F662"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 Limited institutional financing for maintaining optimal manpower capacity to enforce and control for sustainable SLM and SFM;</w:t>
      </w:r>
    </w:p>
    <w:p w14:paraId="4165E20E"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 Lack of capacity to make timely responses to unsustainable “LD hot-spots” and to degraded bio-stocks and habitats;</w:t>
      </w:r>
    </w:p>
    <w:p w14:paraId="06263D0F"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 Lack of awareness or sensitivity by farmers concerning viable SLM and SFM practices including new technologies, and coupled with;</w:t>
      </w:r>
    </w:p>
    <w:p w14:paraId="2F94B1F8" w:rsid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 Lack of mechanisms to mobilize farmers and land owners in SLM, SFM initiatives that, only through corporate action could remedy “hotspots” that they are aware of;</w:t>
      </w:r>
    </w:p>
    <w:p w14:paraId="4832440B" w:rsidR="00133632" w:rsidRPr="00CC5C3C" w:rsidRDefault="00133632" w:rsidP="00CA416F">
      <w:pPr>
        <w:pStyle w:val="ListParagraph"/>
        <w:numPr>
          <w:ilvl w:val="0"/>
          <w:numId w:val="68"/>
        </w:numPr>
        <w:spacing w:after="240" w:line="240" w:lineRule="auto"/>
        <w:contextualSpacing w:val="0"/>
        <w:jc w:val="both"/>
        <w:rPr>
          <w:rFonts w:ascii="Times New Roman" w:hAnsi="Times New Roman" w:cs="Times New Roman"/>
        </w:rPr>
      </w:pPr>
      <w:r w:rsidRPr="00CC5C3C">
        <w:rPr>
          <w:rFonts w:ascii="Times New Roman" w:hAnsi="Times New Roman" w:cs="Times New Roman"/>
        </w:rPr>
        <w:t xml:space="preserve"> Even as private land owners are aware that neither they nor government acting alone can make effective remedies for serious land management problems, the co-management approach</w:t>
      </w:r>
      <w:r w:rsidR="0073431E">
        <w:rPr>
          <w:rFonts w:ascii="Times New Roman" w:hAnsi="Times New Roman" w:cs="Times New Roman"/>
        </w:rPr>
        <w:t xml:space="preserve"> is</w:t>
      </w:r>
      <w:r w:rsidRPr="00CC5C3C">
        <w:rPr>
          <w:rFonts w:ascii="Times New Roman" w:hAnsi="Times New Roman" w:cs="Times New Roman"/>
        </w:rPr>
        <w:t xml:space="preserve"> only in its incipient stage, </w:t>
      </w:r>
      <w:r w:rsidR="0073431E">
        <w:rPr>
          <w:rFonts w:ascii="Times New Roman" w:hAnsi="Times New Roman" w:cs="Times New Roman"/>
        </w:rPr>
        <w:t>and has</w:t>
      </w:r>
      <w:r w:rsidRPr="00CC5C3C">
        <w:rPr>
          <w:rFonts w:ascii="Times New Roman" w:hAnsi="Times New Roman" w:cs="Times New Roman"/>
        </w:rPr>
        <w:t xml:space="preserve"> yet to demonstrate itself as a fully profitable tool for effective management.</w:t>
      </w:r>
    </w:p>
    <w:p w14:paraId="1B1DF760" w:rsidR="00133632" w:rsidRPr="00DC4545" w:rsidRDefault="006C24E2" w:rsidP="009C3E04">
      <w:pPr>
        <w:pStyle w:val="Heading3"/>
      </w:pPr>
      <w:bookmarkStart w:id="20" w:name="_Toc389820959"/>
      <w:r>
        <w:t xml:space="preserve">1.B.5. </w:t>
      </w:r>
      <w:r w:rsidR="00133632" w:rsidRPr="00DC4545">
        <w:t>Stakeholder Analysis:</w:t>
      </w:r>
      <w:bookmarkEnd w:id="20"/>
    </w:p>
    <w:p w14:paraId="6154F3D3" w:rsidR="00133632" w:rsidRPr="00DC4545" w:rsidRDefault="00133632" w:rsidP="009C3E04">
      <w:pPr>
        <w:pStyle w:val="NoSpacing"/>
        <w:rPr>
          <w:rFonts w:ascii="Times New Roman" w:hAnsi="Times New Roman" w:cs="Times New Roman"/>
        </w:rPr>
      </w:pPr>
    </w:p>
    <w:p w14:paraId="37018758" w:rsidR="00133632" w:rsidRPr="00D15D23"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15D23">
        <w:rPr>
          <w:rFonts w:ascii="Times New Roman" w:hAnsi="Times New Roman" w:cs="Times New Roman"/>
        </w:rPr>
        <w:t xml:space="preserve"> </w:t>
      </w:r>
      <w:r w:rsidR="00D15D23" w:rsidRPr="00D15D23">
        <w:rPr>
          <w:rFonts w:ascii="Times New Roman" w:hAnsi="Times New Roman" w:cs="Times New Roman"/>
        </w:rPr>
        <w:t xml:space="preserve">The project is expected to engage a diverse set of stakeholders and Table 3 provides a description of the principal stakeholders who have given tentative approval for and ought to be involved in the project. The project’s success is dependent upon their active participation in project development and the implementation of project activities. </w:t>
      </w:r>
      <w:r w:rsidRPr="00D15D23">
        <w:rPr>
          <w:rFonts w:ascii="Times New Roman" w:hAnsi="Times New Roman" w:cs="Times New Roman"/>
        </w:rPr>
        <w:t xml:space="preserve"> As such the successful implementation of the project will in large measure depend on “designed-in” communication with these stakeholders and for administering a mechanism to be followed through</w:t>
      </w:r>
      <w:r w:rsidR="00AD045E" w:rsidRPr="00D15D23">
        <w:rPr>
          <w:rFonts w:ascii="Times New Roman" w:hAnsi="Times New Roman" w:cs="Times New Roman"/>
        </w:rPr>
        <w:t xml:space="preserve"> </w:t>
      </w:r>
      <w:r w:rsidRPr="00D15D23">
        <w:rPr>
          <w:rFonts w:ascii="Times New Roman" w:hAnsi="Times New Roman" w:cs="Times New Roman"/>
        </w:rPr>
        <w:t>in order to ensure their participation.</w:t>
      </w:r>
    </w:p>
    <w:p w14:paraId="087F0171" w:rsidR="00AD2B16"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FSP, in its design, recognize</w:t>
      </w:r>
      <w:r w:rsidR="00D15D23">
        <w:rPr>
          <w:rFonts w:ascii="Times New Roman" w:hAnsi="Times New Roman" w:cs="Times New Roman"/>
        </w:rPr>
        <w:t>s</w:t>
      </w:r>
      <w:r w:rsidRPr="00DC4545">
        <w:rPr>
          <w:rFonts w:ascii="Times New Roman" w:hAnsi="Times New Roman" w:cs="Times New Roman"/>
        </w:rPr>
        <w:t xml:space="preserve"> that there are different categories of stakeholders in terms of responsibilities, roles and vested interests.  For the Government Competent Authorities there </w:t>
      </w:r>
      <w:r w:rsidR="00D15D23">
        <w:rPr>
          <w:rFonts w:ascii="Times New Roman" w:hAnsi="Times New Roman" w:cs="Times New Roman"/>
        </w:rPr>
        <w:t>are</w:t>
      </w:r>
      <w:r w:rsidRPr="00DC4545">
        <w:rPr>
          <w:rFonts w:ascii="Times New Roman" w:hAnsi="Times New Roman" w:cs="Times New Roman"/>
        </w:rPr>
        <w:t xml:space="preserve"> those with direct biodiversity and ecosystem relevance whose roles and responsibilities would be virtual obligations</w:t>
      </w:r>
      <w:r w:rsidR="00AD2B16">
        <w:rPr>
          <w:rFonts w:ascii="Times New Roman" w:hAnsi="Times New Roman" w:cs="Times New Roman"/>
        </w:rPr>
        <w:t>.</w:t>
      </w:r>
      <w:r w:rsidRPr="00DC4545">
        <w:rPr>
          <w:rFonts w:ascii="Times New Roman" w:hAnsi="Times New Roman" w:cs="Times New Roman"/>
        </w:rPr>
        <w:t xml:space="preserve"> </w:t>
      </w:r>
      <w:r w:rsidR="00AD2B16">
        <w:rPr>
          <w:rFonts w:ascii="Times New Roman" w:hAnsi="Times New Roman" w:cs="Times New Roman"/>
        </w:rPr>
        <w:t>F</w:t>
      </w:r>
      <w:r w:rsidRPr="00DC4545">
        <w:rPr>
          <w:rFonts w:ascii="Times New Roman" w:hAnsi="Times New Roman" w:cs="Times New Roman"/>
        </w:rPr>
        <w:t>or the Competent Authorities that are beneficiaries of the enhanced environment</w:t>
      </w:r>
      <w:r w:rsidR="00AD2B16">
        <w:rPr>
          <w:rFonts w:ascii="Times New Roman" w:hAnsi="Times New Roman" w:cs="Times New Roman"/>
        </w:rPr>
        <w:t>,</w:t>
      </w:r>
      <w:r w:rsidRPr="00DC4545">
        <w:rPr>
          <w:rFonts w:ascii="Times New Roman" w:hAnsi="Times New Roman" w:cs="Times New Roman"/>
        </w:rPr>
        <w:t xml:space="preserve"> they will be mainly recipients of an enhanced water source</w:t>
      </w:r>
      <w:r w:rsidR="00D15D23">
        <w:rPr>
          <w:rFonts w:ascii="Times New Roman" w:hAnsi="Times New Roman" w:cs="Times New Roman"/>
        </w:rPr>
        <w:t xml:space="preserve"> </w:t>
      </w:r>
      <w:r w:rsidRPr="00DC4545">
        <w:rPr>
          <w:rFonts w:ascii="Times New Roman" w:hAnsi="Times New Roman" w:cs="Times New Roman"/>
        </w:rPr>
        <w:t>(NAWASA) and with the Ministry of Tourism as recipients of enhanced Tourism sites as tourism products</w:t>
      </w:r>
      <w:r w:rsidR="00AD2B16">
        <w:rPr>
          <w:rFonts w:ascii="Times New Roman" w:hAnsi="Times New Roman" w:cs="Times New Roman"/>
        </w:rPr>
        <w:t>.</w:t>
      </w:r>
      <w:r w:rsidRPr="00DC4545">
        <w:rPr>
          <w:rFonts w:ascii="Times New Roman" w:hAnsi="Times New Roman" w:cs="Times New Roman"/>
        </w:rPr>
        <w:t xml:space="preserve"> </w:t>
      </w:r>
      <w:r w:rsidR="00AD2B16">
        <w:rPr>
          <w:rFonts w:ascii="Times New Roman" w:hAnsi="Times New Roman" w:cs="Times New Roman"/>
        </w:rPr>
        <w:t>F</w:t>
      </w:r>
      <w:r w:rsidRPr="00DC4545">
        <w:rPr>
          <w:rFonts w:ascii="Times New Roman" w:hAnsi="Times New Roman" w:cs="Times New Roman"/>
        </w:rPr>
        <w:t xml:space="preserve">or the Fisheries Division as Competent Authority it </w:t>
      </w:r>
      <w:r w:rsidR="00AD2B16">
        <w:rPr>
          <w:rFonts w:ascii="Times New Roman" w:hAnsi="Times New Roman" w:cs="Times New Roman"/>
        </w:rPr>
        <w:t>will</w:t>
      </w:r>
      <w:r w:rsidRPr="00DC4545">
        <w:rPr>
          <w:rFonts w:ascii="Times New Roman" w:hAnsi="Times New Roman" w:cs="Times New Roman"/>
        </w:rPr>
        <w:t xml:space="preserve"> be </w:t>
      </w:r>
      <w:r w:rsidR="00AD2B16">
        <w:rPr>
          <w:rFonts w:ascii="Times New Roman" w:hAnsi="Times New Roman" w:cs="Times New Roman"/>
        </w:rPr>
        <w:t xml:space="preserve">an </w:t>
      </w:r>
      <w:r w:rsidRPr="00DC4545">
        <w:rPr>
          <w:rFonts w:ascii="Times New Roman" w:hAnsi="Times New Roman" w:cs="Times New Roman"/>
        </w:rPr>
        <w:t>opportunity to better fulfill their mandate of ensuring optimal utilization of fisheries resources</w:t>
      </w:r>
      <w:r w:rsidR="00AD2B16">
        <w:rPr>
          <w:rFonts w:ascii="Times New Roman" w:hAnsi="Times New Roman" w:cs="Times New Roman"/>
        </w:rPr>
        <w:t>.</w:t>
      </w:r>
      <w:r w:rsidRPr="00DC4545">
        <w:rPr>
          <w:rFonts w:ascii="Times New Roman" w:hAnsi="Times New Roman" w:cs="Times New Roman"/>
        </w:rPr>
        <w:t xml:space="preserve"> </w:t>
      </w:r>
      <w:r w:rsidR="00AD2B16">
        <w:rPr>
          <w:rFonts w:ascii="Times New Roman" w:hAnsi="Times New Roman" w:cs="Times New Roman"/>
        </w:rPr>
        <w:t>F</w:t>
      </w:r>
      <w:r w:rsidRPr="00DC4545">
        <w:rPr>
          <w:rFonts w:ascii="Times New Roman" w:hAnsi="Times New Roman" w:cs="Times New Roman"/>
        </w:rPr>
        <w:t xml:space="preserve">or the Forestry Department it </w:t>
      </w:r>
      <w:r w:rsidR="00AD2B16">
        <w:rPr>
          <w:rFonts w:ascii="Times New Roman" w:hAnsi="Times New Roman" w:cs="Times New Roman"/>
        </w:rPr>
        <w:t>will be an</w:t>
      </w:r>
      <w:r w:rsidRPr="00DC4545">
        <w:rPr>
          <w:rFonts w:ascii="Times New Roman" w:hAnsi="Times New Roman" w:cs="Times New Roman"/>
        </w:rPr>
        <w:t xml:space="preserve"> opportunity to better fulfill their objective of collaborating with allied agencies wit</w:t>
      </w:r>
      <w:r w:rsidR="00D15D23">
        <w:rPr>
          <w:rFonts w:ascii="Times New Roman" w:hAnsi="Times New Roman" w:cs="Times New Roman"/>
        </w:rPr>
        <w:t>hin the Ministry of Agriculture</w:t>
      </w:r>
      <w:r w:rsidRPr="00DC4545">
        <w:rPr>
          <w:rFonts w:ascii="Times New Roman" w:hAnsi="Times New Roman" w:cs="Times New Roman"/>
        </w:rPr>
        <w:t xml:space="preserve"> (Extension services, Agronomy, land use etc.) for ensuring optimal utilization of forested landscapes that perform multiple ecosystems service functions</w:t>
      </w:r>
      <w:r w:rsidR="00AD2B16">
        <w:rPr>
          <w:rFonts w:ascii="Times New Roman" w:hAnsi="Times New Roman" w:cs="Times New Roman"/>
        </w:rPr>
        <w:t>.</w:t>
      </w:r>
      <w:r w:rsidRPr="00DC4545">
        <w:rPr>
          <w:rFonts w:ascii="Times New Roman" w:hAnsi="Times New Roman" w:cs="Times New Roman"/>
        </w:rPr>
        <w:t xml:space="preserve"> </w:t>
      </w:r>
    </w:p>
    <w:p w14:paraId="4B6465B1" w:rsidR="00AD2B16" w:rsidRDefault="00AD2B1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NGOs </w:t>
      </w:r>
      <w:r>
        <w:rPr>
          <w:rFonts w:ascii="Times New Roman" w:hAnsi="Times New Roman" w:cs="Times New Roman"/>
        </w:rPr>
        <w:t xml:space="preserve">will be </w:t>
      </w:r>
      <w:r w:rsidRPr="00DC4545">
        <w:rPr>
          <w:rFonts w:ascii="Times New Roman" w:hAnsi="Times New Roman" w:cs="Times New Roman"/>
        </w:rPr>
        <w:t xml:space="preserve">providers of technical assistance for empowering local area persons, </w:t>
      </w:r>
      <w:r>
        <w:rPr>
          <w:rFonts w:ascii="Times New Roman" w:hAnsi="Times New Roman" w:cs="Times New Roman"/>
        </w:rPr>
        <w:t xml:space="preserve">and as such, </w:t>
      </w:r>
      <w:r w:rsidRPr="00DC4545">
        <w:rPr>
          <w:rFonts w:ascii="Times New Roman" w:hAnsi="Times New Roman" w:cs="Times New Roman"/>
        </w:rPr>
        <w:t xml:space="preserve">they </w:t>
      </w:r>
      <w:r>
        <w:rPr>
          <w:rFonts w:ascii="Times New Roman" w:hAnsi="Times New Roman" w:cs="Times New Roman"/>
        </w:rPr>
        <w:t>will</w:t>
      </w:r>
      <w:r w:rsidRPr="00DC4545">
        <w:rPr>
          <w:rFonts w:ascii="Times New Roman" w:hAnsi="Times New Roman" w:cs="Times New Roman"/>
        </w:rPr>
        <w:t xml:space="preserve"> be recipients of financial and other </w:t>
      </w:r>
      <w:r>
        <w:rPr>
          <w:rFonts w:ascii="Times New Roman" w:hAnsi="Times New Roman" w:cs="Times New Roman"/>
        </w:rPr>
        <w:t>support, as well as</w:t>
      </w:r>
      <w:r w:rsidRPr="00DC4545">
        <w:rPr>
          <w:rFonts w:ascii="Times New Roman" w:hAnsi="Times New Roman" w:cs="Times New Roman"/>
        </w:rPr>
        <w:t xml:space="preserve"> responsible agents impacting local area communities in fulfillment </w:t>
      </w:r>
      <w:r>
        <w:rPr>
          <w:rFonts w:ascii="Times New Roman" w:hAnsi="Times New Roman" w:cs="Times New Roman"/>
        </w:rPr>
        <w:t>of their mission of empowerment. Meanwhile,</w:t>
      </w:r>
      <w:r w:rsidR="00133632" w:rsidRPr="00DC4545">
        <w:rPr>
          <w:rFonts w:ascii="Times New Roman" w:hAnsi="Times New Roman" w:cs="Times New Roman"/>
        </w:rPr>
        <w:t xml:space="preserve"> Community-based organizations (farmers</w:t>
      </w:r>
      <w:r>
        <w:rPr>
          <w:rFonts w:ascii="Times New Roman" w:hAnsi="Times New Roman" w:cs="Times New Roman"/>
        </w:rPr>
        <w:t>,</w:t>
      </w:r>
      <w:r w:rsidR="00133632" w:rsidRPr="00DC4545">
        <w:rPr>
          <w:rFonts w:ascii="Times New Roman" w:hAnsi="Times New Roman" w:cs="Times New Roman"/>
        </w:rPr>
        <w:t xml:space="preserve"> fishers and community development) </w:t>
      </w:r>
      <w:r w:rsidR="00CC5C3C">
        <w:rPr>
          <w:rFonts w:ascii="Times New Roman" w:hAnsi="Times New Roman" w:cs="Times New Roman"/>
        </w:rPr>
        <w:t xml:space="preserve">will be both recipients of </w:t>
      </w:r>
      <w:r w:rsidR="00133632" w:rsidRPr="00DC4545">
        <w:rPr>
          <w:rFonts w:ascii="Times New Roman" w:hAnsi="Times New Roman" w:cs="Times New Roman"/>
        </w:rPr>
        <w:t>assistance and facilitators of development targeted at their in</w:t>
      </w:r>
      <w:r w:rsidR="00CC5C3C">
        <w:rPr>
          <w:rFonts w:ascii="Times New Roman" w:hAnsi="Times New Roman" w:cs="Times New Roman"/>
        </w:rPr>
        <w:t>dividual vested interests</w:t>
      </w:r>
      <w:r>
        <w:rPr>
          <w:rFonts w:ascii="Times New Roman" w:hAnsi="Times New Roman" w:cs="Times New Roman"/>
        </w:rPr>
        <w:t>. Finally,</w:t>
      </w:r>
      <w:r w:rsidR="00CC5C3C">
        <w:rPr>
          <w:rFonts w:ascii="Times New Roman" w:hAnsi="Times New Roman" w:cs="Times New Roman"/>
        </w:rPr>
        <w:t xml:space="preserve"> </w:t>
      </w:r>
      <w:r w:rsidR="00133632" w:rsidRPr="00DC4545">
        <w:rPr>
          <w:rFonts w:ascii="Times New Roman" w:hAnsi="Times New Roman" w:cs="Times New Roman"/>
        </w:rPr>
        <w:t>for the donor- funding co-financing agencies</w:t>
      </w:r>
      <w:r>
        <w:rPr>
          <w:rFonts w:ascii="Times New Roman" w:hAnsi="Times New Roman" w:cs="Times New Roman"/>
        </w:rPr>
        <w:t>,</w:t>
      </w:r>
      <w:r w:rsidR="00133632" w:rsidRPr="00DC4545">
        <w:rPr>
          <w:rFonts w:ascii="Times New Roman" w:hAnsi="Times New Roman" w:cs="Times New Roman"/>
        </w:rPr>
        <w:t xml:space="preserve"> </w:t>
      </w:r>
      <w:r w:rsidR="00D15D23">
        <w:rPr>
          <w:rFonts w:ascii="Times New Roman" w:hAnsi="Times New Roman" w:cs="Times New Roman"/>
        </w:rPr>
        <w:t>the project provides an</w:t>
      </w:r>
      <w:r w:rsidR="00133632" w:rsidRPr="00DC4545">
        <w:rPr>
          <w:rFonts w:ascii="Times New Roman" w:hAnsi="Times New Roman" w:cs="Times New Roman"/>
        </w:rPr>
        <w:t xml:space="preserve"> opportunity </w:t>
      </w:r>
      <w:r>
        <w:rPr>
          <w:rFonts w:ascii="Times New Roman" w:hAnsi="Times New Roman" w:cs="Times New Roman"/>
        </w:rPr>
        <w:t>to</w:t>
      </w:r>
      <w:r w:rsidR="00133632" w:rsidRPr="00DC4545">
        <w:rPr>
          <w:rFonts w:ascii="Times New Roman" w:hAnsi="Times New Roman" w:cs="Times New Roman"/>
        </w:rPr>
        <w:t xml:space="preserve"> contribut</w:t>
      </w:r>
      <w:r>
        <w:rPr>
          <w:rFonts w:ascii="Times New Roman" w:hAnsi="Times New Roman" w:cs="Times New Roman"/>
        </w:rPr>
        <w:t>e</w:t>
      </w:r>
      <w:r w:rsidR="00133632" w:rsidRPr="00DC4545">
        <w:rPr>
          <w:rFonts w:ascii="Times New Roman" w:hAnsi="Times New Roman" w:cs="Times New Roman"/>
        </w:rPr>
        <w:t xml:space="preserve"> to conservation and management of the BD and ecosystems functions at the local level in support of global and local benefits which were designed into their individual projects whether bilateral or multilateral (Regional). </w:t>
      </w:r>
    </w:p>
    <w:p w14:paraId="7E8212FB" w:rsidR="00133632" w:rsidRPr="00DC4545" w:rsidRDefault="004C51E3" w:rsidP="009C3E04">
      <w:pPr>
        <w:rPr>
          <w:rFonts w:ascii="Times New Roman" w:hAnsi="Times New Roman" w:cs="Times New Roman"/>
          <w:b/>
        </w:rPr>
      </w:pPr>
      <w:r>
        <w:rPr>
          <w:rFonts w:ascii="Times New Roman" w:hAnsi="Times New Roman" w:cs="Times New Roman"/>
          <w:b/>
        </w:rPr>
        <w:t>Table 3. Key Stakeholders considered highly relevant to</w:t>
      </w:r>
      <w:r w:rsidR="00133632" w:rsidRPr="00DC4545">
        <w:rPr>
          <w:rFonts w:ascii="Times New Roman" w:hAnsi="Times New Roman" w:cs="Times New Roman"/>
          <w:b/>
        </w:rPr>
        <w:t xml:space="preserve"> the project     </w:t>
      </w:r>
    </w:p>
    <w:tbl>
      <w:tblPr>
        <w:tblStyle w:val="TableGrid"/>
        <w:tblW w:w="10260" w:type="dxa"/>
        <w:tblInd w:w="-342" w:type="dxa"/>
        <w:tblLook w:val="04A0" w:firstRow="1" w:lastRow="0" w:firstColumn="1" w:lastColumn="0" w:noHBand="0" w:noVBand="1"/>
      </w:tblPr>
      <w:tblGrid>
        <w:gridCol w:w="3780"/>
        <w:gridCol w:w="6480"/>
      </w:tblGrid>
      <w:tr w14:paraId="4A548CAD" w:rsidR="00133632" w:rsidRPr="002F2C81" w:rsidTr="00D15D23">
        <w:tc>
          <w:tcPr>
            <w:tcW w:w="3780" w:type="dxa"/>
          </w:tcPr>
          <w:p w14:paraId="37BC6CFB" w:rsidR="00133632" w:rsidRPr="002F2C81" w:rsidRDefault="00133632" w:rsidP="009C3E04">
            <w:pPr>
              <w:pStyle w:val="NoSpacing"/>
              <w:rPr>
                <w:rFonts w:ascii="Times New Roman" w:hAnsi="Times New Roman" w:cs="Times New Roman"/>
                <w:b/>
                <w:sz w:val="20"/>
                <w:szCs w:val="20"/>
              </w:rPr>
            </w:pPr>
            <w:r w:rsidRPr="002F2C81">
              <w:rPr>
                <w:rFonts w:ascii="Times New Roman" w:hAnsi="Times New Roman" w:cs="Times New Roman"/>
                <w:b/>
                <w:sz w:val="20"/>
                <w:szCs w:val="20"/>
              </w:rPr>
              <w:t>STAKEHOLDER (SH)</w:t>
            </w:r>
          </w:p>
        </w:tc>
        <w:tc>
          <w:tcPr>
            <w:tcW w:w="6480" w:type="dxa"/>
          </w:tcPr>
          <w:p w14:paraId="585A7E8A" w:rsidR="00133632" w:rsidRPr="002F2C81" w:rsidRDefault="00133632" w:rsidP="009C3E04">
            <w:pPr>
              <w:pStyle w:val="NoSpacing"/>
              <w:rPr>
                <w:rFonts w:ascii="Times New Roman" w:hAnsi="Times New Roman" w:cs="Times New Roman"/>
                <w:b/>
                <w:sz w:val="20"/>
                <w:szCs w:val="20"/>
              </w:rPr>
            </w:pPr>
            <w:r w:rsidRPr="002F2C81">
              <w:rPr>
                <w:rFonts w:ascii="Times New Roman" w:hAnsi="Times New Roman" w:cs="Times New Roman"/>
                <w:b/>
                <w:sz w:val="20"/>
                <w:szCs w:val="20"/>
              </w:rPr>
              <w:t>EXPECTED ROLE/CONTRIBUTION IN PROJECT IMPLEMENTATION</w:t>
            </w:r>
          </w:p>
        </w:tc>
      </w:tr>
      <w:tr w14:paraId="4B173A76" w:rsidR="00133632" w:rsidRPr="002F2C81" w:rsidTr="00D15D23">
        <w:tc>
          <w:tcPr>
            <w:tcW w:w="3780" w:type="dxa"/>
          </w:tcPr>
          <w:p w14:paraId="6B07413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Ministry of Agriculture, Lands, Forestry, Fisheries and Environment (MoA as chief SH)</w:t>
            </w:r>
          </w:p>
          <w:p w14:paraId="5AD565BA" w:rsidR="00133632" w:rsidRPr="002F2C81" w:rsidRDefault="00133632" w:rsidP="00CA416F">
            <w:pPr>
              <w:pStyle w:val="NoSpacing"/>
              <w:numPr>
                <w:ilvl w:val="0"/>
                <w:numId w:val="48"/>
              </w:numPr>
              <w:ind w:left="360"/>
              <w:rPr>
                <w:rFonts w:ascii="Times New Roman" w:hAnsi="Times New Roman" w:cs="Times New Roman"/>
                <w:sz w:val="20"/>
                <w:szCs w:val="20"/>
              </w:rPr>
            </w:pPr>
            <w:r w:rsidRPr="002F2C81">
              <w:rPr>
                <w:rFonts w:ascii="Times New Roman" w:hAnsi="Times New Roman" w:cs="Times New Roman"/>
                <w:sz w:val="20"/>
                <w:szCs w:val="20"/>
              </w:rPr>
              <w:t>Allied Statutory Body: Grenada Cocoa/Nutmeg Associations; for marketing products of Tree-crop agriculture (Commodity Boards).</w:t>
            </w:r>
          </w:p>
          <w:p w14:paraId="11E9D48A" w:rsidR="00133632" w:rsidRPr="002F2C81" w:rsidRDefault="00133632" w:rsidP="00CA416F">
            <w:pPr>
              <w:pStyle w:val="NoSpacing"/>
              <w:numPr>
                <w:ilvl w:val="0"/>
                <w:numId w:val="48"/>
              </w:numPr>
              <w:ind w:left="360"/>
              <w:rPr>
                <w:rFonts w:ascii="Times New Roman" w:hAnsi="Times New Roman" w:cs="Times New Roman"/>
                <w:sz w:val="20"/>
                <w:szCs w:val="20"/>
              </w:rPr>
            </w:pPr>
            <w:r w:rsidRPr="002F2C81">
              <w:rPr>
                <w:rFonts w:ascii="Times New Roman" w:hAnsi="Times New Roman" w:cs="Times New Roman"/>
                <w:sz w:val="20"/>
                <w:szCs w:val="20"/>
              </w:rPr>
              <w:t xml:space="preserve">Allied Statutory Body: Marketing and National Importing Board (MNIB); for marketing of Agricultural products produced by small-crop farmers. </w:t>
            </w:r>
          </w:p>
        </w:tc>
        <w:tc>
          <w:tcPr>
            <w:tcW w:w="6480" w:type="dxa"/>
          </w:tcPr>
          <w:p w14:paraId="6AA45ECF"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 xml:space="preserve">This Competent Authority(CA) of Government responsible for ensuring that the policy and legal framework are in place for effective management of natural resources, specifically BD and ecosystems services, and will have overall responsibility for implementation of the project. </w:t>
            </w:r>
          </w:p>
          <w:p w14:paraId="7B4869AA" w:rsidR="00133632" w:rsidRPr="002F2C81" w:rsidRDefault="00133632" w:rsidP="009C3E04">
            <w:pPr>
              <w:pStyle w:val="NoSpacing"/>
              <w:rPr>
                <w:rFonts w:ascii="Times New Roman" w:hAnsi="Times New Roman" w:cs="Times New Roman"/>
                <w:sz w:val="20"/>
                <w:szCs w:val="20"/>
              </w:rPr>
            </w:pPr>
          </w:p>
          <w:p w14:paraId="18ECFB9D"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This CA as the agency with the widest scope of knowledge, skills, competencies and historical experience for dealing with various aspects of the implementation and with legal and regulatory authority is well placed to engage various divisions on the one hand and then engage land based/ sea based livelihoods communities on the other hand for the purpose of protecting the BD and ecosystems functions.</w:t>
            </w:r>
          </w:p>
        </w:tc>
      </w:tr>
      <w:tr w14:paraId="1C3F1E1A" w:rsidR="00133632" w:rsidRPr="002F2C81" w:rsidTr="00D15D23">
        <w:tc>
          <w:tcPr>
            <w:tcW w:w="3780" w:type="dxa"/>
          </w:tcPr>
          <w:p w14:paraId="3E84CF11"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Division of fisheries (Management)</w:t>
            </w:r>
          </w:p>
        </w:tc>
        <w:tc>
          <w:tcPr>
            <w:tcW w:w="6480" w:type="dxa"/>
          </w:tcPr>
          <w:p w14:paraId="45D894D8"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This CA within the Ministry of Agriculture is directly responsible for conservation and management of seashore stocks, habitats and sea space directly impacted by land based economic activities such as farming and various waste disposal outfalls; can contribute to education awareness on conservation management issues.</w:t>
            </w:r>
          </w:p>
        </w:tc>
      </w:tr>
      <w:tr w14:paraId="5E4A466D" w:rsidR="00133632" w:rsidRPr="002F2C81" w:rsidTr="00D15D23">
        <w:tc>
          <w:tcPr>
            <w:tcW w:w="3780" w:type="dxa"/>
          </w:tcPr>
          <w:p w14:paraId="230F7F98"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Department of forestry and wildlife</w:t>
            </w:r>
          </w:p>
        </w:tc>
        <w:tc>
          <w:tcPr>
            <w:tcW w:w="6480" w:type="dxa"/>
          </w:tcPr>
          <w:p w14:paraId="2A6C928E"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CA within the MoA is directly responsible for conservation and management of forested landscapes with their BD and Ecosystems functions, notably the water source; can contribute to education and awareness on conservation and management issues.</w:t>
            </w:r>
          </w:p>
        </w:tc>
      </w:tr>
      <w:tr w14:paraId="0FF2B86A" w:rsidR="00133632" w:rsidRPr="002F2C81" w:rsidTr="00D15D23">
        <w:tc>
          <w:tcPr>
            <w:tcW w:w="3780" w:type="dxa"/>
          </w:tcPr>
          <w:p w14:paraId="4E09D839"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Land use division</w:t>
            </w:r>
          </w:p>
        </w:tc>
        <w:tc>
          <w:tcPr>
            <w:tcW w:w="6480" w:type="dxa"/>
          </w:tcPr>
          <w:p w14:paraId="23E3D32A"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CA within the Ministry of Agriculture responsible monitoring and measurement of land and water resources and maintaining a data base on the status and trends regarding Grenada’s ecosystems.</w:t>
            </w:r>
          </w:p>
        </w:tc>
      </w:tr>
      <w:tr w14:paraId="4E40AA63" w:rsidR="00133632" w:rsidRPr="002F2C81" w:rsidTr="00D15D23">
        <w:tc>
          <w:tcPr>
            <w:tcW w:w="3780" w:type="dxa"/>
          </w:tcPr>
          <w:p w14:paraId="4B33F937"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Agri Extension Division</w:t>
            </w:r>
          </w:p>
        </w:tc>
        <w:tc>
          <w:tcPr>
            <w:tcW w:w="6480" w:type="dxa"/>
          </w:tcPr>
          <w:p w14:paraId="3B2FFC8F"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This agency of the MoA that maintain a Liaison relationship with farmers  (crop and livestock) for the purpose of administering government support and for rendering technical advisory services with respect to sustainable agricultural technologies and practices.</w:t>
            </w:r>
          </w:p>
        </w:tc>
      </w:tr>
      <w:tr w14:paraId="77EC70F7" w:rsidR="00133632" w:rsidRPr="002F2C81" w:rsidTr="00D15D23">
        <w:tc>
          <w:tcPr>
            <w:tcW w:w="3780" w:type="dxa"/>
          </w:tcPr>
          <w:p w14:paraId="1AC6D268"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Agronomy veterinary and related services</w:t>
            </w:r>
          </w:p>
        </w:tc>
        <w:tc>
          <w:tcPr>
            <w:tcW w:w="6480" w:type="dxa"/>
          </w:tcPr>
          <w:p w14:paraId="4C118336"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These agencies within MoA are responsible for providing specific support with respect to farming options such as cropping practices and preventative measures so that farmers might yield optimum benefits from their investments</w:t>
            </w:r>
          </w:p>
        </w:tc>
      </w:tr>
      <w:tr w14:paraId="3243FB83" w:rsidR="00133632" w:rsidRPr="002F2C81" w:rsidTr="00D15D23">
        <w:tc>
          <w:tcPr>
            <w:tcW w:w="3780" w:type="dxa"/>
          </w:tcPr>
          <w:p w14:paraId="460E30F6"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Ministry of Physical Development</w:t>
            </w:r>
          </w:p>
          <w:p w14:paraId="217D2FC4" w:rsidR="00133632" w:rsidRPr="002F2C81" w:rsidRDefault="00133632" w:rsidP="009C3E04">
            <w:pPr>
              <w:pStyle w:val="NoSpacing"/>
              <w:rPr>
                <w:rFonts w:ascii="Times New Roman" w:hAnsi="Times New Roman" w:cs="Times New Roman"/>
                <w:sz w:val="20"/>
                <w:szCs w:val="20"/>
              </w:rPr>
            </w:pPr>
          </w:p>
          <w:p w14:paraId="384D8558" w:rsidR="00133632" w:rsidRPr="002F2C81" w:rsidRDefault="00133632" w:rsidP="009C3E04">
            <w:pPr>
              <w:pStyle w:val="NoSpacing"/>
              <w:rPr>
                <w:rFonts w:ascii="Times New Roman" w:hAnsi="Times New Roman" w:cs="Times New Roman"/>
                <w:sz w:val="20"/>
                <w:szCs w:val="20"/>
              </w:rPr>
            </w:pPr>
          </w:p>
          <w:p w14:paraId="613CD91D" w:rsidR="00133632" w:rsidRPr="002F2C81" w:rsidRDefault="00133632" w:rsidP="009C3E04">
            <w:pPr>
              <w:pStyle w:val="NoSpacing"/>
              <w:rPr>
                <w:rFonts w:ascii="Times New Roman" w:hAnsi="Times New Roman" w:cs="Times New Roman"/>
                <w:sz w:val="20"/>
                <w:szCs w:val="20"/>
              </w:rPr>
            </w:pPr>
          </w:p>
        </w:tc>
        <w:tc>
          <w:tcPr>
            <w:tcW w:w="6480" w:type="dxa"/>
          </w:tcPr>
          <w:p w14:paraId="2078D1B8"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Competent Authority responsible for controlling the exploration of aggregates from landscapes and seascapes and which authority through the physical planning development control authority (PPDCA) is responsible for ensuring sound SOP/P for land and building construction and development.  In a policy environment where there is a virtual urban and a rural land development  regime, a sustainable land management policy might have to be negotiated through the initiatives of the project</w:t>
            </w:r>
          </w:p>
        </w:tc>
      </w:tr>
      <w:tr w14:paraId="6A12CB24" w:rsidR="00133632" w:rsidRPr="002F2C81" w:rsidTr="00D15D23">
        <w:tc>
          <w:tcPr>
            <w:tcW w:w="3780" w:type="dxa"/>
          </w:tcPr>
          <w:p w14:paraId="5187369C" w:rsidR="00133632" w:rsidRPr="002F2C81" w:rsidRDefault="00133632" w:rsidP="009C3E04">
            <w:pPr>
              <w:pStyle w:val="NoSpacing"/>
              <w:rPr>
                <w:rFonts w:ascii="Times New Roman" w:hAnsi="Times New Roman" w:cs="Times New Roman"/>
                <w:sz w:val="20"/>
                <w:szCs w:val="20"/>
              </w:rPr>
            </w:pPr>
          </w:p>
          <w:p w14:paraId="4BF2CD47" w:rsidR="00133632" w:rsidRPr="002F2C81" w:rsidRDefault="00D15D23" w:rsidP="009C3E04">
            <w:pPr>
              <w:pStyle w:val="NoSpacing"/>
              <w:rPr>
                <w:rFonts w:ascii="Times New Roman" w:hAnsi="Times New Roman" w:cs="Times New Roman"/>
                <w:sz w:val="20"/>
                <w:szCs w:val="20"/>
              </w:rPr>
            </w:pPr>
            <w:r>
              <w:rPr>
                <w:rFonts w:ascii="Times New Roman" w:hAnsi="Times New Roman" w:cs="Times New Roman"/>
                <w:sz w:val="20"/>
                <w:szCs w:val="20"/>
              </w:rPr>
              <w:t>Non-Governmental Organizations (NGO</w:t>
            </w:r>
            <w:r w:rsidR="00133632" w:rsidRPr="002F2C81">
              <w:rPr>
                <w:rFonts w:ascii="Times New Roman" w:hAnsi="Times New Roman" w:cs="Times New Roman"/>
                <w:sz w:val="20"/>
                <w:szCs w:val="20"/>
              </w:rPr>
              <w:t>s)</w:t>
            </w:r>
            <w:r w:rsidR="00AD2B16">
              <w:rPr>
                <w:rFonts w:ascii="Times New Roman" w:hAnsi="Times New Roman" w:cs="Times New Roman"/>
                <w:sz w:val="20"/>
                <w:szCs w:val="20"/>
              </w:rPr>
              <w:t>:</w:t>
            </w:r>
          </w:p>
          <w:p w14:paraId="51218231" w:rsidR="00133632" w:rsidRPr="002F2C81" w:rsidRDefault="00133632" w:rsidP="009C67A9">
            <w:pPr>
              <w:pStyle w:val="NoSpacing"/>
              <w:numPr>
                <w:ilvl w:val="0"/>
                <w:numId w:val="2"/>
              </w:numPr>
              <w:rPr>
                <w:rFonts w:ascii="Times New Roman" w:hAnsi="Times New Roman" w:cs="Times New Roman"/>
                <w:sz w:val="20"/>
                <w:szCs w:val="20"/>
              </w:rPr>
            </w:pPr>
            <w:r w:rsidRPr="002F2C81">
              <w:rPr>
                <w:rFonts w:ascii="Times New Roman" w:hAnsi="Times New Roman" w:cs="Times New Roman"/>
                <w:sz w:val="20"/>
                <w:szCs w:val="20"/>
              </w:rPr>
              <w:t>ART.</w:t>
            </w:r>
          </w:p>
          <w:p w14:paraId="66D1AA2E" w:rsidR="00133632" w:rsidRPr="002F2C81" w:rsidRDefault="00133632" w:rsidP="009C3E04">
            <w:pPr>
              <w:pStyle w:val="NoSpacing"/>
              <w:ind w:left="720"/>
              <w:rPr>
                <w:rFonts w:ascii="Times New Roman" w:hAnsi="Times New Roman" w:cs="Times New Roman"/>
                <w:sz w:val="20"/>
                <w:szCs w:val="20"/>
              </w:rPr>
            </w:pPr>
            <w:r w:rsidRPr="002F2C81">
              <w:rPr>
                <w:rFonts w:ascii="Times New Roman" w:hAnsi="Times New Roman" w:cs="Times New Roman"/>
                <w:sz w:val="20"/>
                <w:szCs w:val="20"/>
              </w:rPr>
              <w:t>(G)PIA.</w:t>
            </w:r>
          </w:p>
          <w:p w14:paraId="244122FA" w:rsidR="00133632" w:rsidRPr="002F2C81" w:rsidRDefault="00133632" w:rsidP="009C3E04">
            <w:pPr>
              <w:pStyle w:val="NoSpacing"/>
              <w:ind w:left="720"/>
              <w:rPr>
                <w:rFonts w:ascii="Times New Roman" w:hAnsi="Times New Roman" w:cs="Times New Roman"/>
                <w:sz w:val="20"/>
                <w:szCs w:val="20"/>
              </w:rPr>
            </w:pPr>
            <w:r w:rsidRPr="002F2C81">
              <w:rPr>
                <w:rFonts w:ascii="Times New Roman" w:hAnsi="Times New Roman" w:cs="Times New Roman"/>
                <w:sz w:val="20"/>
                <w:szCs w:val="20"/>
              </w:rPr>
              <w:t>SPECTO.</w:t>
            </w:r>
          </w:p>
          <w:p w14:paraId="68806175" w:rsidR="00133632" w:rsidRPr="002F2C81" w:rsidRDefault="00133632" w:rsidP="009C3E04">
            <w:pPr>
              <w:pStyle w:val="NoSpacing"/>
              <w:ind w:left="720"/>
              <w:rPr>
                <w:rFonts w:ascii="Times New Roman" w:hAnsi="Times New Roman" w:cs="Times New Roman"/>
                <w:sz w:val="20"/>
                <w:szCs w:val="20"/>
              </w:rPr>
            </w:pPr>
            <w:r w:rsidRPr="002F2C81">
              <w:rPr>
                <w:rFonts w:ascii="Times New Roman" w:hAnsi="Times New Roman" w:cs="Times New Roman"/>
                <w:sz w:val="20"/>
                <w:szCs w:val="20"/>
              </w:rPr>
              <w:t>GRENCODA.</w:t>
            </w:r>
          </w:p>
        </w:tc>
        <w:tc>
          <w:tcPr>
            <w:tcW w:w="6480" w:type="dxa"/>
          </w:tcPr>
          <w:p w14:paraId="1509603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registered NGOs as private, non-profit institutions set up for the purpose of delivering technical assistance and facilitatory services with the goal of empowering individuals and communities, especially the economically vulnerable; the role of these organizations will be to provide technical assistance and resources to CBOs</w:t>
            </w:r>
            <w:r w:rsidR="00AD2B16">
              <w:rPr>
                <w:rFonts w:ascii="Times New Roman" w:hAnsi="Times New Roman" w:cs="Times New Roman"/>
                <w:sz w:val="20"/>
                <w:szCs w:val="20"/>
              </w:rPr>
              <w:t xml:space="preserve"> </w:t>
            </w:r>
            <w:r w:rsidRPr="002F2C81">
              <w:rPr>
                <w:rFonts w:ascii="Times New Roman" w:hAnsi="Times New Roman" w:cs="Times New Roman"/>
                <w:sz w:val="20"/>
                <w:szCs w:val="20"/>
              </w:rPr>
              <w:t>and local area communities, acting as agents of the project or co-financing bodies that would provide financial resources in support.  These agencies have accumulated knowledge, know-how and experience over the years.</w:t>
            </w:r>
          </w:p>
        </w:tc>
      </w:tr>
      <w:tr w14:paraId="4AD93B52" w:rsidR="00133632" w:rsidRPr="002F2C81" w:rsidTr="00D15D23">
        <w:tc>
          <w:tcPr>
            <w:tcW w:w="3780" w:type="dxa"/>
          </w:tcPr>
          <w:p w14:paraId="0059BE80"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Community Based Organizations</w:t>
            </w:r>
            <w:r w:rsidR="00AD2B16">
              <w:rPr>
                <w:rFonts w:ascii="Times New Roman" w:hAnsi="Times New Roman" w:cs="Times New Roman"/>
                <w:sz w:val="20"/>
                <w:szCs w:val="20"/>
              </w:rPr>
              <w:t>:</w:t>
            </w:r>
          </w:p>
          <w:p w14:paraId="7054F9EB" w:rsidR="00133632" w:rsidRPr="002F2C81" w:rsidRDefault="00133632" w:rsidP="009C67A9">
            <w:pPr>
              <w:pStyle w:val="NoSpacing"/>
              <w:numPr>
                <w:ilvl w:val="0"/>
                <w:numId w:val="2"/>
              </w:numPr>
              <w:rPr>
                <w:rFonts w:ascii="Times New Roman" w:hAnsi="Times New Roman" w:cs="Times New Roman"/>
                <w:sz w:val="20"/>
                <w:szCs w:val="20"/>
              </w:rPr>
            </w:pPr>
            <w:r w:rsidRPr="002F2C81">
              <w:rPr>
                <w:rFonts w:ascii="Times New Roman" w:hAnsi="Times New Roman" w:cs="Times New Roman"/>
                <w:sz w:val="20"/>
                <w:szCs w:val="20"/>
              </w:rPr>
              <w:t>North-East Farmers Org; South-West Development organization.</w:t>
            </w:r>
          </w:p>
          <w:p w14:paraId="4015C6FF" w:rsidR="00133632" w:rsidRPr="002F2C81" w:rsidRDefault="00133632" w:rsidP="009C67A9">
            <w:pPr>
              <w:pStyle w:val="NoSpacing"/>
              <w:numPr>
                <w:ilvl w:val="0"/>
                <w:numId w:val="2"/>
              </w:numPr>
              <w:rPr>
                <w:rFonts w:ascii="Times New Roman" w:hAnsi="Times New Roman" w:cs="Times New Roman"/>
                <w:sz w:val="20"/>
                <w:szCs w:val="20"/>
              </w:rPr>
            </w:pPr>
            <w:r w:rsidRPr="002F2C81">
              <w:rPr>
                <w:rFonts w:ascii="Times New Roman" w:hAnsi="Times New Roman" w:cs="Times New Roman"/>
                <w:sz w:val="20"/>
                <w:szCs w:val="20"/>
              </w:rPr>
              <w:t>National Farmers and Fisheries organization.</w:t>
            </w:r>
          </w:p>
        </w:tc>
        <w:tc>
          <w:tcPr>
            <w:tcW w:w="6480" w:type="dxa"/>
          </w:tcPr>
          <w:p w14:paraId="5E535B4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Local area vested interest groups such as N/W Farmers’ Organization; N/E Farmers’ Organization; southern Fishermen’s Organization INC., Grenada Federation of Agriculture and Fisheries organizations, Grenada Chamber of Industry and Commerce together with Commodity boards will all play a role in the effort.</w:t>
            </w:r>
            <w:r w:rsidR="00AD2B16">
              <w:t xml:space="preserve"> </w:t>
            </w:r>
            <w:r w:rsidR="00AD2B16" w:rsidRPr="00AD2B16">
              <w:rPr>
                <w:rFonts w:ascii="Times New Roman" w:hAnsi="Times New Roman" w:cs="Times New Roman"/>
                <w:sz w:val="20"/>
                <w:szCs w:val="20"/>
              </w:rPr>
              <w:t>CBO’s will be expected to perform roles as either or both recipients and as donor of assistance.</w:t>
            </w:r>
          </w:p>
        </w:tc>
      </w:tr>
      <w:tr w14:paraId="2817D848" w:rsidR="00133632" w:rsidRPr="002F2C81" w:rsidTr="00D15D23">
        <w:tc>
          <w:tcPr>
            <w:tcW w:w="3780" w:type="dxa"/>
          </w:tcPr>
          <w:p w14:paraId="02E112FD"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Department of the Environment, now part of the Ministry of Agriculture</w:t>
            </w:r>
          </w:p>
        </w:tc>
        <w:tc>
          <w:tcPr>
            <w:tcW w:w="6480" w:type="dxa"/>
          </w:tcPr>
          <w:p w14:paraId="404DA836"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Agency within the ministry of Agriculture and environment – when each contributes to the suite of “Ridge-to-Reef” initiatives both within the overall island landscapes /seascapes and within the targeted Beausejour watershed (Pilot area) will contribute to enhanced management and conservation of the BD and ecosystems functions in Grenada; and with the concept of land/ sea impacts in focus.</w:t>
            </w:r>
          </w:p>
        </w:tc>
      </w:tr>
      <w:tr w14:paraId="514A6B8A" w:rsidR="00133632" w:rsidRPr="002F2C81" w:rsidTr="00D15D23">
        <w:tc>
          <w:tcPr>
            <w:tcW w:w="3780" w:type="dxa"/>
          </w:tcPr>
          <w:p w14:paraId="2522C473"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Ministry of Tourism</w:t>
            </w:r>
          </w:p>
        </w:tc>
        <w:tc>
          <w:tcPr>
            <w:tcW w:w="6480" w:type="dxa"/>
          </w:tcPr>
          <w:p w14:paraId="70B164D1"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Since parts of PAs are used as National Parks and as tourism product and such Parks are now managed by the Ministry of Tourism as tourism attractions, the ministry of Tourism has a responsibility for contributing to the process of expansion of the network of PA’s and for facilitating the institutionalization of such parks within the protected areas network.</w:t>
            </w:r>
          </w:p>
        </w:tc>
      </w:tr>
      <w:tr w14:paraId="51623B69" w:rsidR="00133632" w:rsidRPr="002F2C81" w:rsidTr="00D15D23">
        <w:tc>
          <w:tcPr>
            <w:tcW w:w="3780" w:type="dxa"/>
          </w:tcPr>
          <w:p w14:paraId="68F7AF1E"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Allied Agencies Coast Guard, Grenada Board Of Tourism, Grenada Ports Authority Environmental Health Div. NAWASA Etc.</w:t>
            </w:r>
          </w:p>
        </w:tc>
        <w:tc>
          <w:tcPr>
            <w:tcW w:w="6480" w:type="dxa"/>
          </w:tcPr>
          <w:p w14:paraId="649B2E46"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Such agencies as Competent Authority or as facilitators of their ministries mandates will have roles and functions for security, safety, licensing of crafts, for quality control of water, quality control of products of BD and ecosystems functions.</w:t>
            </w:r>
          </w:p>
        </w:tc>
      </w:tr>
      <w:tr w14:paraId="7D23BB4D" w:rsidR="00133632" w:rsidRPr="002F2C81" w:rsidTr="00D15D23">
        <w:tc>
          <w:tcPr>
            <w:tcW w:w="3780" w:type="dxa"/>
          </w:tcPr>
          <w:p w14:paraId="334E19C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Education institutions and centers of excellence</w:t>
            </w:r>
          </w:p>
        </w:tc>
        <w:tc>
          <w:tcPr>
            <w:tcW w:w="6480" w:type="dxa"/>
          </w:tcPr>
          <w:p w14:paraId="0F24901E"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 xml:space="preserve">The local St. Georges University (SGU) and regional institutions such as University of the West Indies (UWI) and Caribbean environmental health institutes (CEHI) have considerable experience in application of monitor, measurement evaluation and response (MMER) initiatives with respect to landscape/ seascape impacts when they collaborated with various regional and international agencies for such purposes. </w:t>
            </w:r>
          </w:p>
        </w:tc>
      </w:tr>
      <w:tr w14:paraId="3FCFFC03" w:rsidR="00133632" w:rsidRPr="002F2C81" w:rsidTr="00D15D23">
        <w:tc>
          <w:tcPr>
            <w:tcW w:w="3780" w:type="dxa"/>
          </w:tcPr>
          <w:p w14:paraId="3D93AC22"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Special initiatives of collaboration</w:t>
            </w:r>
          </w:p>
          <w:p w14:paraId="7F05B73F"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Government – GCIC</w:t>
            </w:r>
          </w:p>
          <w:p w14:paraId="38C345B1"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GOG: Government of Grenada</w:t>
            </w:r>
          </w:p>
        </w:tc>
        <w:tc>
          <w:tcPr>
            <w:tcW w:w="6480" w:type="dxa"/>
          </w:tcPr>
          <w:p w14:paraId="14C734C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The initiatives where collaboration was made for responses toward climate change adaptation where-</w:t>
            </w:r>
          </w:p>
          <w:p w14:paraId="706CA4C5" w:rsidR="00133632" w:rsidRPr="002F2C81" w:rsidRDefault="00133632" w:rsidP="009C67A9">
            <w:pPr>
              <w:pStyle w:val="NoSpacing"/>
              <w:numPr>
                <w:ilvl w:val="0"/>
                <w:numId w:val="3"/>
              </w:numPr>
              <w:rPr>
                <w:rFonts w:ascii="Times New Roman" w:hAnsi="Times New Roman" w:cs="Times New Roman"/>
                <w:sz w:val="20"/>
                <w:szCs w:val="20"/>
              </w:rPr>
            </w:pPr>
            <w:r w:rsidRPr="002F2C81">
              <w:rPr>
                <w:rFonts w:ascii="Times New Roman" w:hAnsi="Times New Roman" w:cs="Times New Roman"/>
                <w:sz w:val="20"/>
                <w:szCs w:val="20"/>
              </w:rPr>
              <w:t>GCIC/ GOG collaborated for the “outing” of GHG as refrigerants.</w:t>
            </w:r>
          </w:p>
          <w:p w14:paraId="3256D977" w:rsidR="00133632" w:rsidRPr="002F2C81" w:rsidRDefault="00133632" w:rsidP="009C67A9">
            <w:pPr>
              <w:pStyle w:val="NoSpacing"/>
              <w:numPr>
                <w:ilvl w:val="0"/>
                <w:numId w:val="3"/>
              </w:numPr>
              <w:rPr>
                <w:rFonts w:ascii="Times New Roman" w:hAnsi="Times New Roman" w:cs="Times New Roman"/>
                <w:sz w:val="20"/>
                <w:szCs w:val="20"/>
              </w:rPr>
            </w:pPr>
            <w:r w:rsidRPr="002F2C81">
              <w:rPr>
                <w:rFonts w:ascii="Times New Roman" w:hAnsi="Times New Roman" w:cs="Times New Roman"/>
                <w:sz w:val="20"/>
                <w:szCs w:val="20"/>
              </w:rPr>
              <w:t>GCIC/ GOG collaborated for promotion of non- Fossil energy consumption (Solar panel use) by pre incentives to persons buying loans and equipment</w:t>
            </w:r>
          </w:p>
        </w:tc>
      </w:tr>
      <w:tr w14:paraId="1A0B908D" w:rsidR="00133632" w:rsidRPr="002F2C81" w:rsidTr="00D15D23">
        <w:tc>
          <w:tcPr>
            <w:tcW w:w="3780" w:type="dxa"/>
          </w:tcPr>
          <w:p w14:paraId="787429E4"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National Water and Sewerage Authority</w:t>
            </w:r>
          </w:p>
        </w:tc>
        <w:tc>
          <w:tcPr>
            <w:tcW w:w="6480" w:type="dxa"/>
          </w:tcPr>
          <w:p w14:paraId="322C52F5" w:rsidR="00133632" w:rsidRPr="002F2C81" w:rsidRDefault="00133632" w:rsidP="009C3E04">
            <w:pPr>
              <w:pStyle w:val="NoSpacing"/>
              <w:rPr>
                <w:rFonts w:ascii="Times New Roman" w:hAnsi="Times New Roman" w:cs="Times New Roman"/>
                <w:sz w:val="20"/>
                <w:szCs w:val="20"/>
              </w:rPr>
            </w:pPr>
            <w:r w:rsidRPr="002F2C81">
              <w:rPr>
                <w:rFonts w:ascii="Times New Roman" w:hAnsi="Times New Roman" w:cs="Times New Roman"/>
                <w:sz w:val="20"/>
                <w:szCs w:val="20"/>
              </w:rPr>
              <w:t>Collaboration with various competent authorities for the purpose of ensuring that the water source is adequately protected from threats that would compromise potable water quality.</w:t>
            </w:r>
          </w:p>
        </w:tc>
      </w:tr>
    </w:tbl>
    <w:p w14:paraId="6CFD9874" w:rsidR="00133632" w:rsidRPr="00DC4545" w:rsidRDefault="00133632" w:rsidP="009C3E04">
      <w:pPr>
        <w:pStyle w:val="NoSpacing"/>
        <w:rPr>
          <w:rFonts w:ascii="Times New Roman" w:hAnsi="Times New Roman" w:cs="Times New Roman"/>
          <w:b/>
        </w:rPr>
      </w:pPr>
    </w:p>
    <w:p w14:paraId="79E5C790" w:rsidR="00133632" w:rsidRPr="00AD2B16" w:rsidRDefault="00AD2B1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AD2B16">
        <w:rPr>
          <w:rFonts w:ascii="Times New Roman" w:hAnsi="Times New Roman" w:cs="Times New Roman"/>
        </w:rPr>
        <w:t>The contributing stakeholders under the command and control of government will have their institutional roles and responsibilities, as well as the support of baseline, recurrent enabling services. On the other hand, it is anticipated that the non-governmental stakeholders will be driven by mechanisms that are collaborative. Furthermore, the co-management model although as yet in its incipient stage of application within the Grenada community could offer an opportunity for lessons learned.</w:t>
      </w:r>
      <w:r>
        <w:rPr>
          <w:rFonts w:ascii="Times New Roman" w:hAnsi="Times New Roman" w:cs="Times New Roman"/>
        </w:rPr>
        <w:t xml:space="preserve"> Indeed, i</w:t>
      </w:r>
      <w:r w:rsidR="00133632" w:rsidRPr="00AD2B16">
        <w:rPr>
          <w:rFonts w:ascii="Times New Roman" w:hAnsi="Times New Roman" w:cs="Times New Roman"/>
        </w:rPr>
        <w:t xml:space="preserve">mplementation of the Ridge-to-Reef project </w:t>
      </w:r>
      <w:r>
        <w:rPr>
          <w:rFonts w:ascii="Times New Roman" w:hAnsi="Times New Roman" w:cs="Times New Roman"/>
        </w:rPr>
        <w:t>offers</w:t>
      </w:r>
      <w:r w:rsidR="00133632" w:rsidRPr="00AD2B16">
        <w:rPr>
          <w:rFonts w:ascii="Times New Roman" w:hAnsi="Times New Roman" w:cs="Times New Roman"/>
        </w:rPr>
        <w:t xml:space="preserve"> a significant co-management challenge that must consider the following in the cont</w:t>
      </w:r>
      <w:r w:rsidR="00E42033">
        <w:rPr>
          <w:rFonts w:ascii="Times New Roman" w:hAnsi="Times New Roman" w:cs="Times New Roman"/>
        </w:rPr>
        <w:t>ext of co-management as a model that is</w:t>
      </w:r>
      <w:r w:rsidR="00A24EEB" w:rsidRPr="00AD2B16">
        <w:rPr>
          <w:rFonts w:ascii="Times New Roman" w:hAnsi="Times New Roman" w:cs="Times New Roman"/>
        </w:rPr>
        <w:t xml:space="preserve"> </w:t>
      </w:r>
      <w:r w:rsidR="00383510" w:rsidRPr="00AD2B16">
        <w:rPr>
          <w:rFonts w:ascii="Times New Roman" w:hAnsi="Times New Roman" w:cs="Times New Roman"/>
        </w:rPr>
        <w:t>only in its incipient stage:</w:t>
      </w:r>
    </w:p>
    <w:p w14:paraId="0D28C43C" w:rsidR="00133632" w:rsidRPr="00DC4545" w:rsidRDefault="002F2C81" w:rsidP="00CA416F">
      <w:pPr>
        <w:pStyle w:val="NoSpacing"/>
        <w:numPr>
          <w:ilvl w:val="0"/>
          <w:numId w:val="52"/>
        </w:numPr>
        <w:jc w:val="both"/>
        <w:rPr>
          <w:rFonts w:ascii="Times New Roman" w:hAnsi="Times New Roman" w:cs="Times New Roman"/>
        </w:rPr>
      </w:pPr>
      <w:r>
        <w:rPr>
          <w:rFonts w:ascii="Times New Roman" w:hAnsi="Times New Roman" w:cs="Times New Roman"/>
        </w:rPr>
        <w:t>Th</w:t>
      </w:r>
      <w:r w:rsidR="00E42033">
        <w:rPr>
          <w:rFonts w:ascii="Times New Roman" w:hAnsi="Times New Roman" w:cs="Times New Roman"/>
        </w:rPr>
        <w:t>e</w:t>
      </w:r>
      <w:r>
        <w:rPr>
          <w:rFonts w:ascii="Times New Roman" w:hAnsi="Times New Roman" w:cs="Times New Roman"/>
        </w:rPr>
        <w:t xml:space="preserve"> Government’s</w:t>
      </w:r>
      <w:r w:rsidR="00133632" w:rsidRPr="00DC4545">
        <w:rPr>
          <w:rFonts w:ascii="Times New Roman" w:hAnsi="Times New Roman" w:cs="Times New Roman"/>
        </w:rPr>
        <w:t xml:space="preserve"> inter-sectoral co-management interventions could be made less challenging if the project is designed to offer opportunity for joint action; not merely at the Steering Committee level; but at the operational levels. The specific financial budgets should be creatively administered in collaboration with </w:t>
      </w:r>
      <w:r w:rsidR="00A24EEB">
        <w:rPr>
          <w:rFonts w:ascii="Times New Roman" w:hAnsi="Times New Roman" w:cs="Times New Roman"/>
        </w:rPr>
        <w:t xml:space="preserve">the relevant </w:t>
      </w:r>
      <w:r w:rsidR="00133632" w:rsidRPr="00DC4545">
        <w:rPr>
          <w:rFonts w:ascii="Times New Roman" w:hAnsi="Times New Roman" w:cs="Times New Roman"/>
        </w:rPr>
        <w:t>Government Competent Authorities and thus could be a powerful instrument for animating collaboration between and among agencies: CAs, CBOs/CSOs and NGOs.</w:t>
      </w:r>
    </w:p>
    <w:p w14:paraId="3C3DD569" w:rsidR="00133632" w:rsidRPr="00DC4545" w:rsidRDefault="00133632" w:rsidP="00E42033">
      <w:pPr>
        <w:pStyle w:val="NoSpacing"/>
        <w:ind w:left="720"/>
        <w:jc w:val="both"/>
        <w:rPr>
          <w:rFonts w:ascii="Times New Roman" w:hAnsi="Times New Roman" w:cs="Times New Roman"/>
        </w:rPr>
      </w:pPr>
    </w:p>
    <w:p w14:paraId="062B6F94" w:rsidR="00133632" w:rsidRPr="00DC4545" w:rsidRDefault="00E42033" w:rsidP="00CA416F">
      <w:pPr>
        <w:pStyle w:val="NoSpacing"/>
        <w:numPr>
          <w:ilvl w:val="0"/>
          <w:numId w:val="52"/>
        </w:numPr>
        <w:jc w:val="both"/>
        <w:rPr>
          <w:rFonts w:ascii="Times New Roman" w:hAnsi="Times New Roman" w:cs="Times New Roman"/>
        </w:rPr>
      </w:pPr>
      <w:r>
        <w:rPr>
          <w:rFonts w:ascii="Times New Roman" w:hAnsi="Times New Roman" w:cs="Times New Roman"/>
        </w:rPr>
        <w:t>T</w:t>
      </w:r>
      <w:r w:rsidR="00A24EEB">
        <w:rPr>
          <w:rFonts w:ascii="Times New Roman" w:hAnsi="Times New Roman" w:cs="Times New Roman"/>
        </w:rPr>
        <w:t>he project must su</w:t>
      </w:r>
      <w:r w:rsidR="00133632" w:rsidRPr="00DC4545">
        <w:rPr>
          <w:rFonts w:ascii="Times New Roman" w:hAnsi="Times New Roman" w:cs="Times New Roman"/>
        </w:rPr>
        <w:t>fficiently specify roles</w:t>
      </w:r>
      <w:r w:rsidR="00A24EEB">
        <w:rPr>
          <w:rFonts w:ascii="Times New Roman" w:hAnsi="Times New Roman" w:cs="Times New Roman"/>
        </w:rPr>
        <w:t>,</w:t>
      </w:r>
      <w:r w:rsidR="00133632" w:rsidRPr="00DC4545">
        <w:rPr>
          <w:rFonts w:ascii="Times New Roman" w:hAnsi="Times New Roman" w:cs="Times New Roman"/>
        </w:rPr>
        <w:t xml:space="preserve"> r</w:t>
      </w:r>
      <w:r w:rsidR="00A24EEB">
        <w:rPr>
          <w:rFonts w:ascii="Times New Roman" w:hAnsi="Times New Roman" w:cs="Times New Roman"/>
        </w:rPr>
        <w:t>esponsibilities, obligations,</w:t>
      </w:r>
      <w:r w:rsidR="00133632" w:rsidRPr="00DC4545">
        <w:rPr>
          <w:rFonts w:ascii="Times New Roman" w:hAnsi="Times New Roman" w:cs="Times New Roman"/>
        </w:rPr>
        <w:t xml:space="preserve"> beneficiaries and recipients as specific stakeholders; and stating the specific resources (financia</w:t>
      </w:r>
      <w:r>
        <w:rPr>
          <w:rFonts w:ascii="Times New Roman" w:hAnsi="Times New Roman" w:cs="Times New Roman"/>
        </w:rPr>
        <w:t>l and other) allocated to and/</w:t>
      </w:r>
      <w:r w:rsidR="00133632" w:rsidRPr="00DC4545">
        <w:rPr>
          <w:rFonts w:ascii="Times New Roman" w:hAnsi="Times New Roman" w:cs="Times New Roman"/>
        </w:rPr>
        <w:t>or for each category of stakeholder.</w:t>
      </w:r>
    </w:p>
    <w:p w14:paraId="277256F4" w:rsidR="00133632" w:rsidRPr="00DC4545" w:rsidRDefault="00133632" w:rsidP="00E42033">
      <w:pPr>
        <w:pStyle w:val="NoSpacing"/>
        <w:jc w:val="both"/>
        <w:rPr>
          <w:rFonts w:ascii="Times New Roman" w:hAnsi="Times New Roman" w:cs="Times New Roman"/>
        </w:rPr>
      </w:pPr>
    </w:p>
    <w:p w14:paraId="39007805" w:rsidR="00133632" w:rsidRPr="00DC4545" w:rsidRDefault="00133632" w:rsidP="00CA416F">
      <w:pPr>
        <w:pStyle w:val="NoSpacing"/>
        <w:numPr>
          <w:ilvl w:val="0"/>
          <w:numId w:val="52"/>
        </w:numPr>
        <w:jc w:val="both"/>
        <w:rPr>
          <w:rFonts w:ascii="Times New Roman" w:hAnsi="Times New Roman" w:cs="Times New Roman"/>
        </w:rPr>
      </w:pPr>
      <w:r w:rsidRPr="00DC4545">
        <w:rPr>
          <w:rFonts w:ascii="Times New Roman" w:hAnsi="Times New Roman" w:cs="Times New Roman"/>
        </w:rPr>
        <w:t>An appropriate tracking must be applied throughout the project lifetime for recording and evaluating</w:t>
      </w:r>
      <w:r w:rsidR="00A24EEB">
        <w:rPr>
          <w:rFonts w:ascii="Times New Roman" w:hAnsi="Times New Roman" w:cs="Times New Roman"/>
        </w:rPr>
        <w:t xml:space="preserve"> the co-management process and Best Management P</w:t>
      </w:r>
      <w:r w:rsidRPr="00DC4545">
        <w:rPr>
          <w:rFonts w:ascii="Times New Roman" w:hAnsi="Times New Roman" w:cs="Times New Roman"/>
        </w:rPr>
        <w:t xml:space="preserve">ractices, with Community-based </w:t>
      </w:r>
      <w:r w:rsidR="00A24EEB">
        <w:rPr>
          <w:rFonts w:ascii="Times New Roman" w:hAnsi="Times New Roman" w:cs="Times New Roman"/>
        </w:rPr>
        <w:t>“</w:t>
      </w:r>
      <w:r w:rsidRPr="00DC4545">
        <w:rPr>
          <w:rFonts w:ascii="Times New Roman" w:hAnsi="Times New Roman" w:cs="Times New Roman"/>
        </w:rPr>
        <w:t>designed</w:t>
      </w:r>
      <w:r w:rsidR="00A24EEB">
        <w:rPr>
          <w:rFonts w:ascii="Times New Roman" w:hAnsi="Times New Roman" w:cs="Times New Roman"/>
        </w:rPr>
        <w:t>-in”</w:t>
      </w:r>
      <w:r w:rsidRPr="00DC4545">
        <w:rPr>
          <w:rFonts w:ascii="Times New Roman" w:hAnsi="Times New Roman" w:cs="Times New Roman"/>
        </w:rPr>
        <w:t xml:space="preserve"> tracking tools (TT )</w:t>
      </w:r>
      <w:r w:rsidR="00A24EEB">
        <w:rPr>
          <w:rFonts w:ascii="Times New Roman" w:hAnsi="Times New Roman" w:cs="Times New Roman"/>
        </w:rPr>
        <w:t>,tailor-made and</w:t>
      </w:r>
      <w:r w:rsidRPr="00DC4545">
        <w:rPr>
          <w:rFonts w:ascii="Times New Roman" w:hAnsi="Times New Roman" w:cs="Times New Roman"/>
        </w:rPr>
        <w:t xml:space="preserve"> applied on the shorter term basis.</w:t>
      </w:r>
    </w:p>
    <w:p w14:paraId="590A97D7" w:rsidR="00133632" w:rsidRPr="00DC4545" w:rsidRDefault="00133632" w:rsidP="00E42033">
      <w:pPr>
        <w:pStyle w:val="NoSpacing"/>
        <w:jc w:val="both"/>
        <w:rPr>
          <w:rFonts w:ascii="Times New Roman" w:hAnsi="Times New Roman" w:cs="Times New Roman"/>
        </w:rPr>
      </w:pPr>
    </w:p>
    <w:p w14:paraId="4DE6EBE3" w:rsidR="0027787B" w:rsidRDefault="00133632" w:rsidP="00CA416F">
      <w:pPr>
        <w:pStyle w:val="NoSpacing"/>
        <w:numPr>
          <w:ilvl w:val="0"/>
          <w:numId w:val="52"/>
        </w:numPr>
        <w:jc w:val="both"/>
        <w:rPr>
          <w:rFonts w:ascii="Times New Roman" w:hAnsi="Times New Roman" w:cs="Times New Roman"/>
        </w:rPr>
      </w:pPr>
      <w:r w:rsidRPr="00DC4545">
        <w:rPr>
          <w:rFonts w:ascii="Times New Roman" w:hAnsi="Times New Roman" w:cs="Times New Roman"/>
        </w:rPr>
        <w:t>Emphasis must be placed on education and awareness of both agents of Competent Aut</w:t>
      </w:r>
      <w:r w:rsidR="00E42033">
        <w:rPr>
          <w:rFonts w:ascii="Times New Roman" w:hAnsi="Times New Roman" w:cs="Times New Roman"/>
        </w:rPr>
        <w:t>horities and NGOs/</w:t>
      </w:r>
      <w:r w:rsidRPr="00DC4545">
        <w:rPr>
          <w:rFonts w:ascii="Times New Roman" w:hAnsi="Times New Roman" w:cs="Times New Roman"/>
        </w:rPr>
        <w:t xml:space="preserve">CBOs in joint informal interactive sessions with the objective of clarifying ideas such as </w:t>
      </w:r>
      <w:r w:rsidRPr="00A24EEB">
        <w:rPr>
          <w:rFonts w:ascii="Times New Roman" w:hAnsi="Times New Roman" w:cs="Times New Roman"/>
          <w:i/>
        </w:rPr>
        <w:t>Sustainable utilization/ development</w:t>
      </w:r>
      <w:r w:rsidRPr="00DC4545">
        <w:rPr>
          <w:rFonts w:ascii="Times New Roman" w:hAnsi="Times New Roman" w:cs="Times New Roman"/>
        </w:rPr>
        <w:t xml:space="preserve">, </w:t>
      </w:r>
      <w:r w:rsidRPr="00A24EEB">
        <w:rPr>
          <w:rFonts w:ascii="Times New Roman" w:hAnsi="Times New Roman" w:cs="Times New Roman"/>
          <w:i/>
        </w:rPr>
        <w:t>BD conservation and management</w:t>
      </w:r>
      <w:r w:rsidR="00A24EEB">
        <w:rPr>
          <w:rFonts w:ascii="Times New Roman" w:hAnsi="Times New Roman" w:cs="Times New Roman"/>
        </w:rPr>
        <w:t xml:space="preserve">, </w:t>
      </w:r>
      <w:r w:rsidR="00A24EEB" w:rsidRPr="00A24EEB">
        <w:rPr>
          <w:rFonts w:ascii="Times New Roman" w:hAnsi="Times New Roman" w:cs="Times New Roman"/>
          <w:i/>
        </w:rPr>
        <w:t xml:space="preserve">ecosystems </w:t>
      </w:r>
      <w:r w:rsidRPr="00A24EEB">
        <w:rPr>
          <w:rFonts w:ascii="Times New Roman" w:hAnsi="Times New Roman" w:cs="Times New Roman"/>
          <w:i/>
        </w:rPr>
        <w:t>functions</w:t>
      </w:r>
      <w:r w:rsidRPr="00DC4545">
        <w:rPr>
          <w:rFonts w:ascii="Times New Roman" w:hAnsi="Times New Roman" w:cs="Times New Roman"/>
        </w:rPr>
        <w:t xml:space="preserve"> </w:t>
      </w:r>
      <w:r w:rsidRPr="00A24EEB">
        <w:rPr>
          <w:rFonts w:ascii="Times New Roman" w:hAnsi="Times New Roman" w:cs="Times New Roman"/>
          <w:i/>
        </w:rPr>
        <w:t>services</w:t>
      </w:r>
      <w:r w:rsidRPr="00DC4545">
        <w:rPr>
          <w:rFonts w:ascii="Times New Roman" w:hAnsi="Times New Roman" w:cs="Times New Roman"/>
        </w:rPr>
        <w:t xml:space="preserve">, </w:t>
      </w:r>
      <w:r w:rsidRPr="00A24EEB">
        <w:rPr>
          <w:rFonts w:ascii="Times New Roman" w:hAnsi="Times New Roman" w:cs="Times New Roman"/>
          <w:i/>
        </w:rPr>
        <w:t>Eco-assets</w:t>
      </w:r>
      <w:r w:rsidRPr="00DC4545">
        <w:rPr>
          <w:rFonts w:ascii="Times New Roman" w:hAnsi="Times New Roman" w:cs="Times New Roman"/>
        </w:rPr>
        <w:t xml:space="preserve">, </w:t>
      </w:r>
      <w:r w:rsidR="00A24EEB" w:rsidRPr="00A24EEB">
        <w:rPr>
          <w:rFonts w:ascii="Times New Roman" w:hAnsi="Times New Roman" w:cs="Times New Roman"/>
          <w:i/>
        </w:rPr>
        <w:t>Green Economy, L</w:t>
      </w:r>
      <w:r w:rsidRPr="00A24EEB">
        <w:rPr>
          <w:rFonts w:ascii="Times New Roman" w:hAnsi="Times New Roman" w:cs="Times New Roman"/>
          <w:i/>
        </w:rPr>
        <w:t>ivelihoods</w:t>
      </w:r>
      <w:r w:rsidRPr="00DC4545">
        <w:rPr>
          <w:rFonts w:ascii="Times New Roman" w:hAnsi="Times New Roman" w:cs="Times New Roman"/>
        </w:rPr>
        <w:t xml:space="preserve"> in its widest sense</w:t>
      </w:r>
      <w:r w:rsidR="00E42033">
        <w:rPr>
          <w:rFonts w:ascii="Times New Roman" w:hAnsi="Times New Roman" w:cs="Times New Roman"/>
        </w:rPr>
        <w:t>,</w:t>
      </w:r>
      <w:r w:rsidRPr="00DC4545">
        <w:rPr>
          <w:rFonts w:ascii="Times New Roman" w:hAnsi="Times New Roman" w:cs="Times New Roman"/>
        </w:rPr>
        <w:t xml:space="preserve"> etc.</w:t>
      </w:r>
      <w:r w:rsidR="00A24EEB">
        <w:rPr>
          <w:rFonts w:ascii="Times New Roman" w:hAnsi="Times New Roman" w:cs="Times New Roman"/>
        </w:rPr>
        <w:t>,</w:t>
      </w:r>
      <w:r w:rsidR="00E42033">
        <w:rPr>
          <w:rFonts w:ascii="Times New Roman" w:hAnsi="Times New Roman" w:cs="Times New Roman"/>
        </w:rPr>
        <w:t xml:space="preserve"> </w:t>
      </w:r>
      <w:r w:rsidRPr="00DC4545">
        <w:rPr>
          <w:rFonts w:ascii="Times New Roman" w:hAnsi="Times New Roman" w:cs="Times New Roman"/>
        </w:rPr>
        <w:t xml:space="preserve">since all stakeholders could benefit considerably from such education/awareness sessions. </w:t>
      </w:r>
    </w:p>
    <w:p w14:paraId="5ADEFF4B" w:rsidR="0027787B" w:rsidRPr="0027787B" w:rsidRDefault="0027787B" w:rsidP="0027787B">
      <w:pPr>
        <w:pStyle w:val="NoSpacing"/>
        <w:jc w:val="both"/>
        <w:rPr>
          <w:rFonts w:ascii="Times New Roman" w:hAnsi="Times New Roman" w:cs="Times New Roman"/>
        </w:rPr>
      </w:pPr>
    </w:p>
    <w:p w14:paraId="7B1A358F" w:rsidR="00133632" w:rsidRPr="00DC4545" w:rsidRDefault="00133632" w:rsidP="009C3E04">
      <w:pPr>
        <w:pStyle w:val="Heading1"/>
      </w:pPr>
      <w:bookmarkStart w:id="21" w:name="_Toc389820960"/>
      <w:r w:rsidRPr="00DC4545">
        <w:t>PART 2: PROJECT STRATEGY</w:t>
      </w:r>
      <w:bookmarkEnd w:id="21"/>
    </w:p>
    <w:p w14:paraId="199915B3" w:rsidR="00133632" w:rsidRPr="00DC4545" w:rsidRDefault="00133632" w:rsidP="009C3E04">
      <w:pPr>
        <w:pStyle w:val="NoSpacing"/>
        <w:spacing w:line="22" w:lineRule="atLeast"/>
        <w:rPr>
          <w:rFonts w:ascii="Times New Roman" w:hAnsi="Times New Roman" w:cs="Times New Roman"/>
          <w:b/>
        </w:rPr>
      </w:pPr>
    </w:p>
    <w:p w14:paraId="72AEFA1F" w:rsidR="00133632" w:rsidRPr="00DC4545" w:rsidRDefault="00133632" w:rsidP="009C3E04">
      <w:pPr>
        <w:pStyle w:val="Heading2"/>
      </w:pPr>
      <w:bookmarkStart w:id="22" w:name="_Toc389820961"/>
      <w:r w:rsidRPr="007E1799">
        <w:t>2.1 Project rationale and policy conformity</w:t>
      </w:r>
      <w:bookmarkEnd w:id="22"/>
    </w:p>
    <w:p w14:paraId="49307039" w:rsidR="00133632" w:rsidRPr="00DC4545" w:rsidRDefault="00133632" w:rsidP="009C3E04">
      <w:pPr>
        <w:pStyle w:val="NoSpacing"/>
        <w:spacing w:line="22" w:lineRule="atLeast"/>
        <w:rPr>
          <w:rFonts w:ascii="Times New Roman" w:hAnsi="Times New Roman" w:cs="Times New Roman"/>
        </w:rPr>
      </w:pPr>
    </w:p>
    <w:p w14:paraId="71F6534C" w:rsidR="00A8512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Grenada “Ridge to Reef Project” is designed to </w:t>
      </w:r>
      <w:r w:rsidR="008B0ADD">
        <w:rPr>
          <w:rFonts w:ascii="Times New Roman" w:hAnsi="Times New Roman" w:cs="Times New Roman"/>
        </w:rPr>
        <w:t xml:space="preserve">support Grenada’s compliance with </w:t>
      </w:r>
      <w:r w:rsidRPr="00DC4545">
        <w:rPr>
          <w:rFonts w:ascii="Times New Roman" w:hAnsi="Times New Roman" w:cs="Times New Roman"/>
        </w:rPr>
        <w:t>a number of agreed-upon International Environmental Management and Conservation Strategies, Policies and Plans</w:t>
      </w:r>
      <w:r w:rsidR="002F2C81">
        <w:rPr>
          <w:rFonts w:ascii="Times New Roman" w:hAnsi="Times New Roman" w:cs="Times New Roman"/>
        </w:rPr>
        <w:t xml:space="preserve"> </w:t>
      </w:r>
      <w:r w:rsidRPr="00DC4545">
        <w:rPr>
          <w:rFonts w:ascii="Times New Roman" w:hAnsi="Times New Roman" w:cs="Times New Roman"/>
        </w:rPr>
        <w:t>(e.g MDGs and Aichi targets and goals) with the technical and financial assist</w:t>
      </w:r>
      <w:r w:rsidR="008B0ADD">
        <w:rPr>
          <w:rFonts w:ascii="Times New Roman" w:hAnsi="Times New Roman" w:cs="Times New Roman"/>
        </w:rPr>
        <w:t>ance of the Global Environment</w:t>
      </w:r>
      <w:r w:rsidRPr="00DC4545">
        <w:rPr>
          <w:rFonts w:ascii="Times New Roman" w:hAnsi="Times New Roman" w:cs="Times New Roman"/>
        </w:rPr>
        <w:t xml:space="preserve"> Facility (GEF).  The project intervention is essentially a complement to the Government</w:t>
      </w:r>
      <w:r w:rsidR="008B0ADD">
        <w:rPr>
          <w:rFonts w:ascii="Times New Roman" w:hAnsi="Times New Roman" w:cs="Times New Roman"/>
        </w:rPr>
        <w:t xml:space="preserve"> of Grenada’s</w:t>
      </w:r>
      <w:r w:rsidRPr="00DC4545">
        <w:rPr>
          <w:rFonts w:ascii="Times New Roman" w:hAnsi="Times New Roman" w:cs="Times New Roman"/>
        </w:rPr>
        <w:t xml:space="preserve"> efforts, on the local level, to fulfill its obligations to various United Nations Conventions and Protocols (MEAs) with respect to Biodiversity and Eco-systems Functions/services by applying program-based delivery systems; and with co-management initiatives that </w:t>
      </w:r>
      <w:r w:rsidR="008B0ADD">
        <w:rPr>
          <w:rFonts w:ascii="Times New Roman" w:hAnsi="Times New Roman" w:cs="Times New Roman"/>
        </w:rPr>
        <w:t>will</w:t>
      </w:r>
      <w:r w:rsidRPr="00DC4545">
        <w:rPr>
          <w:rFonts w:ascii="Times New Roman" w:hAnsi="Times New Roman" w:cs="Times New Roman"/>
        </w:rPr>
        <w:t xml:space="preserve"> accommodate the involvement of local area communities in a direct way.  This project is therefore designed to address the GEF STAR 5 strategy for SLM, SFM/REDD+ together with focal areas such as BD, LD and climate change mitigation (ECM). </w:t>
      </w:r>
      <w:r w:rsidR="008B0ADD">
        <w:rPr>
          <w:rFonts w:ascii="Times New Roman" w:hAnsi="Times New Roman" w:cs="Times New Roman"/>
        </w:rPr>
        <w:t>T</w:t>
      </w:r>
      <w:r w:rsidRPr="00DC4545">
        <w:rPr>
          <w:rFonts w:ascii="Times New Roman" w:hAnsi="Times New Roman" w:cs="Times New Roman"/>
        </w:rPr>
        <w:t xml:space="preserve">he project will </w:t>
      </w:r>
      <w:r w:rsidR="008B0ADD">
        <w:rPr>
          <w:rFonts w:ascii="Times New Roman" w:hAnsi="Times New Roman" w:cs="Times New Roman"/>
        </w:rPr>
        <w:t xml:space="preserve">uniquely </w:t>
      </w:r>
      <w:r w:rsidRPr="00DC4545">
        <w:rPr>
          <w:rFonts w:ascii="Times New Roman" w:hAnsi="Times New Roman" w:cs="Times New Roman"/>
        </w:rPr>
        <w:t>co-program with concurrent grant</w:t>
      </w:r>
      <w:r w:rsidR="00DF1CD8">
        <w:rPr>
          <w:rFonts w:ascii="Times New Roman" w:hAnsi="Times New Roman" w:cs="Times New Roman"/>
        </w:rPr>
        <w:t>-aid initiatives having similar</w:t>
      </w:r>
      <w:r w:rsidRPr="00DC4545">
        <w:rPr>
          <w:rFonts w:ascii="Times New Roman" w:hAnsi="Times New Roman" w:cs="Times New Roman"/>
        </w:rPr>
        <w:t xml:space="preserve"> goals and purposes. </w:t>
      </w:r>
    </w:p>
    <w:p w14:paraId="74C3C56B" w:rsidR="00001914"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001914">
        <w:rPr>
          <w:rFonts w:ascii="Times New Roman" w:hAnsi="Times New Roman" w:cs="Times New Roman"/>
        </w:rPr>
        <w:t xml:space="preserve">In </w:t>
      </w:r>
      <w:r w:rsidR="00A24EEB" w:rsidRPr="00001914">
        <w:rPr>
          <w:rFonts w:ascii="Times New Roman" w:hAnsi="Times New Roman" w:cs="Times New Roman"/>
        </w:rPr>
        <w:t>particular</w:t>
      </w:r>
      <w:r w:rsidR="00001914" w:rsidRPr="00001914">
        <w:rPr>
          <w:rFonts w:ascii="Times New Roman" w:hAnsi="Times New Roman" w:cs="Times New Roman"/>
        </w:rPr>
        <w:t>,</w:t>
      </w:r>
      <w:r w:rsidR="00A24EEB" w:rsidRPr="00001914">
        <w:rPr>
          <w:rFonts w:ascii="Times New Roman" w:hAnsi="Times New Roman" w:cs="Times New Roman"/>
        </w:rPr>
        <w:t xml:space="preserve"> the project </w:t>
      </w:r>
      <w:r w:rsidR="00001914" w:rsidRPr="00001914">
        <w:rPr>
          <w:rFonts w:ascii="Times New Roman" w:hAnsi="Times New Roman" w:cs="Times New Roman"/>
        </w:rPr>
        <w:t xml:space="preserve">directly addresses and is </w:t>
      </w:r>
      <w:r w:rsidRPr="00001914">
        <w:rPr>
          <w:rFonts w:ascii="Times New Roman" w:hAnsi="Times New Roman" w:cs="Times New Roman"/>
        </w:rPr>
        <w:t xml:space="preserve">consistent with </w:t>
      </w:r>
      <w:r w:rsidR="00001914" w:rsidRPr="00001914">
        <w:rPr>
          <w:rFonts w:ascii="Times New Roman" w:hAnsi="Times New Roman" w:cs="Times New Roman"/>
        </w:rPr>
        <w:t>the</w:t>
      </w:r>
      <w:r w:rsidRPr="00001914">
        <w:rPr>
          <w:rFonts w:ascii="Times New Roman" w:hAnsi="Times New Roman" w:cs="Times New Roman"/>
        </w:rPr>
        <w:t xml:space="preserve"> </w:t>
      </w:r>
      <w:r w:rsidR="00001914" w:rsidRPr="00001914">
        <w:rPr>
          <w:rFonts w:ascii="Times New Roman" w:hAnsi="Times New Roman" w:cs="Times New Roman"/>
        </w:rPr>
        <w:t>outcomes</w:t>
      </w:r>
      <w:r w:rsidRPr="00001914">
        <w:rPr>
          <w:rFonts w:ascii="Times New Roman" w:hAnsi="Times New Roman" w:cs="Times New Roman"/>
        </w:rPr>
        <w:t xml:space="preserve"> and out</w:t>
      </w:r>
      <w:r w:rsidR="00001914" w:rsidRPr="00001914">
        <w:rPr>
          <w:rFonts w:ascii="Times New Roman" w:hAnsi="Times New Roman" w:cs="Times New Roman"/>
        </w:rPr>
        <w:t>puts of</w:t>
      </w:r>
      <w:r w:rsidRPr="00001914">
        <w:rPr>
          <w:rFonts w:ascii="Times New Roman" w:hAnsi="Times New Roman" w:cs="Times New Roman"/>
        </w:rPr>
        <w:t xml:space="preserve"> GEF Strategic</w:t>
      </w:r>
      <w:r w:rsidR="00746FF7" w:rsidRPr="00001914">
        <w:rPr>
          <w:rFonts w:ascii="Times New Roman" w:hAnsi="Times New Roman" w:cs="Times New Roman"/>
        </w:rPr>
        <w:t xml:space="preserve"> </w:t>
      </w:r>
      <w:r w:rsidR="00001914" w:rsidRPr="00001914">
        <w:rPr>
          <w:rFonts w:ascii="Times New Roman" w:hAnsi="Times New Roman" w:cs="Times New Roman"/>
        </w:rPr>
        <w:t>O</w:t>
      </w:r>
      <w:r w:rsidRPr="00001914">
        <w:rPr>
          <w:rFonts w:ascii="Times New Roman" w:hAnsi="Times New Roman" w:cs="Times New Roman"/>
        </w:rPr>
        <w:t xml:space="preserve">bjective #1– to improve sustainability of protected area systems.  </w:t>
      </w:r>
      <w:r w:rsidR="00001914" w:rsidRPr="00001914">
        <w:rPr>
          <w:rFonts w:ascii="Times New Roman" w:hAnsi="Times New Roman" w:cs="Times New Roman"/>
        </w:rPr>
        <w:t>T</w:t>
      </w:r>
      <w:r w:rsidRPr="00001914">
        <w:rPr>
          <w:rFonts w:ascii="Times New Roman" w:hAnsi="Times New Roman" w:cs="Times New Roman"/>
        </w:rPr>
        <w:t xml:space="preserve">he project will support the implementation of key aspects of the Grenada System Plan for Parks and Protected areas and the Grenada Declaration (COP8) to effectively conserve at least 25% of its marine and territorial ecosystems by </w:t>
      </w:r>
      <w:r w:rsidR="00001914" w:rsidRPr="00001914">
        <w:rPr>
          <w:rFonts w:ascii="Times New Roman" w:hAnsi="Times New Roman" w:cs="Times New Roman"/>
        </w:rPr>
        <w:t xml:space="preserve">the </w:t>
      </w:r>
      <w:r w:rsidRPr="00001914">
        <w:rPr>
          <w:rFonts w:ascii="Times New Roman" w:hAnsi="Times New Roman" w:cs="Times New Roman"/>
        </w:rPr>
        <w:t>year 2020.  This project will enhance the capabilities of Grenada with respect to instit</w:t>
      </w:r>
      <w:r w:rsidR="00001914" w:rsidRPr="00001914">
        <w:rPr>
          <w:rFonts w:ascii="Times New Roman" w:hAnsi="Times New Roman" w:cs="Times New Roman"/>
        </w:rPr>
        <w:t>utional, regulatory, and policy-based</w:t>
      </w:r>
      <w:r w:rsidRPr="00001914">
        <w:rPr>
          <w:rFonts w:ascii="Times New Roman" w:hAnsi="Times New Roman" w:cs="Times New Roman"/>
        </w:rPr>
        <w:t xml:space="preserve"> Strategic Planning.  </w:t>
      </w:r>
      <w:r w:rsidR="00001914" w:rsidRPr="00001914">
        <w:rPr>
          <w:rFonts w:ascii="Times New Roman" w:hAnsi="Times New Roman" w:cs="Times New Roman"/>
        </w:rPr>
        <w:t xml:space="preserve">It </w:t>
      </w:r>
      <w:r w:rsidRPr="00001914">
        <w:rPr>
          <w:rFonts w:ascii="Times New Roman" w:hAnsi="Times New Roman" w:cs="Times New Roman"/>
        </w:rPr>
        <w:t>will also provide Grenada with financial support for various materials that enable the process.  The project will expand and enhance the existing PA system</w:t>
      </w:r>
      <w:r w:rsidR="00001914" w:rsidRPr="00001914">
        <w:rPr>
          <w:rFonts w:ascii="Times New Roman" w:hAnsi="Times New Roman" w:cs="Times New Roman"/>
        </w:rPr>
        <w:t xml:space="preserve"> in the country</w:t>
      </w:r>
      <w:r w:rsidRPr="00001914">
        <w:rPr>
          <w:rFonts w:ascii="Times New Roman" w:hAnsi="Times New Roman" w:cs="Times New Roman"/>
        </w:rPr>
        <w:t xml:space="preserve"> by increasing the number of </w:t>
      </w:r>
      <w:r w:rsidR="00DC2538">
        <w:rPr>
          <w:rFonts w:ascii="Times New Roman" w:hAnsi="Times New Roman" w:cs="Times New Roman"/>
        </w:rPr>
        <w:t>TPAs</w:t>
      </w:r>
      <w:r w:rsidRPr="00001914">
        <w:rPr>
          <w:rFonts w:ascii="Times New Roman" w:hAnsi="Times New Roman" w:cs="Times New Roman"/>
        </w:rPr>
        <w:t xml:space="preserve"> from 8 to 9 (increasing the number of hectares from 1,931 ha. to 2931 ha.) and increasing the number of MPA</w:t>
      </w:r>
      <w:r w:rsidR="00001914" w:rsidRPr="00001914">
        <w:rPr>
          <w:rFonts w:ascii="Times New Roman" w:hAnsi="Times New Roman" w:cs="Times New Roman"/>
        </w:rPr>
        <w:t>s</w:t>
      </w:r>
      <w:r w:rsidRPr="00001914">
        <w:rPr>
          <w:rFonts w:ascii="Times New Roman" w:hAnsi="Times New Roman" w:cs="Times New Roman"/>
        </w:rPr>
        <w:t xml:space="preserve"> from 3 to 7 (increasing the number of hectares from 1,780 ha. to 13, 180 ha.). </w:t>
      </w:r>
      <w:r w:rsidR="00001914" w:rsidRPr="00001914">
        <w:rPr>
          <w:rFonts w:ascii="Times New Roman" w:hAnsi="Times New Roman" w:cs="Times New Roman"/>
        </w:rPr>
        <w:t>Furthermore, the project will support the</w:t>
      </w:r>
      <w:r w:rsidRPr="00001914">
        <w:rPr>
          <w:rFonts w:ascii="Times New Roman" w:hAnsi="Times New Roman" w:cs="Times New Roman"/>
        </w:rPr>
        <w:t xml:space="preserve"> incorporat</w:t>
      </w:r>
      <w:r w:rsidR="00001914" w:rsidRPr="00001914">
        <w:rPr>
          <w:rFonts w:ascii="Times New Roman" w:hAnsi="Times New Roman" w:cs="Times New Roman"/>
        </w:rPr>
        <w:t>ion of</w:t>
      </w:r>
      <w:r w:rsidRPr="00001914">
        <w:rPr>
          <w:rFonts w:ascii="Times New Roman" w:hAnsi="Times New Roman" w:cs="Times New Roman"/>
        </w:rPr>
        <w:t xml:space="preserve"> a number</w:t>
      </w:r>
      <w:r w:rsidR="00DF1CD8" w:rsidRPr="00001914">
        <w:rPr>
          <w:rFonts w:ascii="Times New Roman" w:hAnsi="Times New Roman" w:cs="Times New Roman"/>
        </w:rPr>
        <w:t xml:space="preserve"> of mini PAs into the national </w:t>
      </w:r>
      <w:r w:rsidRPr="00001914">
        <w:rPr>
          <w:rFonts w:ascii="Times New Roman" w:hAnsi="Times New Roman" w:cs="Times New Roman"/>
        </w:rPr>
        <w:t xml:space="preserve">network </w:t>
      </w:r>
      <w:r w:rsidR="00001914" w:rsidRPr="00001914">
        <w:rPr>
          <w:rFonts w:ascii="Times New Roman" w:hAnsi="Times New Roman" w:cs="Times New Roman"/>
        </w:rPr>
        <w:t>as a minimum cost output.</w:t>
      </w:r>
      <w:r w:rsidR="00001914">
        <w:rPr>
          <w:rFonts w:ascii="Times New Roman" w:hAnsi="Times New Roman" w:cs="Times New Roman"/>
        </w:rPr>
        <w:t xml:space="preserve"> </w:t>
      </w:r>
      <w:r w:rsidR="00001914" w:rsidRPr="00001914">
        <w:rPr>
          <w:rFonts w:ascii="Times New Roman" w:hAnsi="Times New Roman" w:cs="Times New Roman"/>
        </w:rPr>
        <w:t>The</w:t>
      </w:r>
      <w:r w:rsidR="00001914">
        <w:rPr>
          <w:rFonts w:ascii="Times New Roman" w:hAnsi="Times New Roman" w:cs="Times New Roman"/>
        </w:rPr>
        <w:t xml:space="preserve"> consolidation and expansion of the PA system will be enhanced by the project’s support in </w:t>
      </w:r>
      <w:r w:rsidR="00001914" w:rsidRPr="00001914">
        <w:rPr>
          <w:rFonts w:ascii="Times New Roman" w:hAnsi="Times New Roman" w:cs="Times New Roman"/>
        </w:rPr>
        <w:t>reduc</w:t>
      </w:r>
      <w:r w:rsidR="00001914">
        <w:rPr>
          <w:rFonts w:ascii="Times New Roman" w:hAnsi="Times New Roman" w:cs="Times New Roman"/>
        </w:rPr>
        <w:t>ing</w:t>
      </w:r>
      <w:r w:rsidR="00001914" w:rsidRPr="00001914">
        <w:rPr>
          <w:rFonts w:ascii="Times New Roman" w:hAnsi="Times New Roman" w:cs="Times New Roman"/>
        </w:rPr>
        <w:t xml:space="preserve"> threats to BD by addressing habitat degradation and over-exploitation of biological resources within PAs. </w:t>
      </w:r>
    </w:p>
    <w:p w14:paraId="7C5A6B50" w:rsidR="00FC2079"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001914">
        <w:rPr>
          <w:rFonts w:ascii="Times New Roman" w:hAnsi="Times New Roman" w:cs="Times New Roman"/>
        </w:rPr>
        <w:t>The project will also address GEF Land Degradation Strategic Object 3 – Reduce pressure</w:t>
      </w:r>
      <w:r w:rsidR="00FC2079">
        <w:rPr>
          <w:rFonts w:ascii="Times New Roman" w:hAnsi="Times New Roman" w:cs="Times New Roman"/>
        </w:rPr>
        <w:t>s</w:t>
      </w:r>
      <w:r w:rsidRPr="00001914">
        <w:rPr>
          <w:rFonts w:ascii="Times New Roman" w:hAnsi="Times New Roman" w:cs="Times New Roman"/>
        </w:rPr>
        <w:t xml:space="preserve"> on natural resources from competing land uses in the wider landscape.  The proposed project will contribute to arresting and reversing current trends in land and forest degradation and deforestation, focused on an area (the Beausejour Watershed) that has direct and significant negative impacts on ecosystem services in adjacent Protected Areas, through implementation of Integrated Watershed Management and application of sustainable agricultural practices that will prevent erosion and sedimentation entering coastal and n</w:t>
      </w:r>
      <w:r w:rsidR="00FC2079">
        <w:rPr>
          <w:rFonts w:ascii="Times New Roman" w:hAnsi="Times New Roman" w:cs="Times New Roman"/>
        </w:rPr>
        <w:t>ear shore waters,</w:t>
      </w:r>
      <w:r w:rsidRPr="00001914">
        <w:rPr>
          <w:rFonts w:ascii="Times New Roman" w:hAnsi="Times New Roman" w:cs="Times New Roman"/>
        </w:rPr>
        <w:t xml:space="preserve"> will create livelihood benefits for local communities, and will conser</w:t>
      </w:r>
      <w:r w:rsidR="00FC2079">
        <w:rPr>
          <w:rFonts w:ascii="Times New Roman" w:hAnsi="Times New Roman" w:cs="Times New Roman"/>
        </w:rPr>
        <w:t>ve important terrestrial, fresh</w:t>
      </w:r>
      <w:r w:rsidRPr="00001914">
        <w:rPr>
          <w:rFonts w:ascii="Times New Roman" w:hAnsi="Times New Roman" w:cs="Times New Roman"/>
        </w:rPr>
        <w:t xml:space="preserve">water and marine ecosystems.  </w:t>
      </w:r>
    </w:p>
    <w:p w14:paraId="479C2086" w:rsidR="006C24E2" w:rsidRPr="00001914"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001914">
        <w:rPr>
          <w:rFonts w:ascii="Times New Roman" w:hAnsi="Times New Roman" w:cs="Times New Roman"/>
        </w:rPr>
        <w:t xml:space="preserve">The project </w:t>
      </w:r>
      <w:r w:rsidR="006C24E2" w:rsidRPr="00001914">
        <w:rPr>
          <w:rFonts w:ascii="Times New Roman" w:hAnsi="Times New Roman" w:cs="Times New Roman"/>
        </w:rPr>
        <w:t>will</w:t>
      </w:r>
      <w:r w:rsidR="00FC2079">
        <w:rPr>
          <w:rFonts w:ascii="Times New Roman" w:hAnsi="Times New Roman" w:cs="Times New Roman"/>
        </w:rPr>
        <w:t xml:space="preserve"> also</w:t>
      </w:r>
      <w:r w:rsidR="006C24E2" w:rsidRPr="00001914">
        <w:rPr>
          <w:rFonts w:ascii="Times New Roman" w:hAnsi="Times New Roman" w:cs="Times New Roman"/>
        </w:rPr>
        <w:t xml:space="preserve"> address GEF SFM-REDD+ </w:t>
      </w:r>
      <w:r w:rsidRPr="00001914">
        <w:rPr>
          <w:rFonts w:ascii="Times New Roman" w:hAnsi="Times New Roman" w:cs="Times New Roman"/>
        </w:rPr>
        <w:t>Objective 1 – Reduce pressure</w:t>
      </w:r>
      <w:r w:rsidR="00FC2079">
        <w:rPr>
          <w:rFonts w:ascii="Times New Roman" w:hAnsi="Times New Roman" w:cs="Times New Roman"/>
        </w:rPr>
        <w:t>s</w:t>
      </w:r>
      <w:r w:rsidRPr="00001914">
        <w:rPr>
          <w:rFonts w:ascii="Times New Roman" w:hAnsi="Times New Roman" w:cs="Times New Roman"/>
        </w:rPr>
        <w:t xml:space="preserve"> on forest resources and generate sustainable flows of forest ecosystem services, by reducing the threat of deforestation from fire, slash and burn agriculture, and encroachment by housing and tourism, and by increasing forest cover and carbon stocks </w:t>
      </w:r>
      <w:r w:rsidR="00FC2079">
        <w:rPr>
          <w:rFonts w:ascii="Times New Roman" w:hAnsi="Times New Roman" w:cs="Times New Roman"/>
        </w:rPr>
        <w:t>through</w:t>
      </w:r>
      <w:r w:rsidRPr="00001914">
        <w:rPr>
          <w:rFonts w:ascii="Times New Roman" w:hAnsi="Times New Roman" w:cs="Times New Roman"/>
        </w:rPr>
        <w:t xml:space="preserve"> agro-forestry and the removal of invasive species.  </w:t>
      </w:r>
    </w:p>
    <w:p w14:paraId="0FDA9DB4" w:rsidR="006C24E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project will implement a “Ridge-to-Reef” approach that integrates BD, LD and SFM approaches, jointly implemented by government and local communities, and combines protection of biodiversity and habitats within a functional, representative and sustainable national system of terrestrial and marine protected areas with sustainable management of land and water resources in adjoining / upstream watersheds.  In so doing, the project supports the Decision 11 / COP.10 of the UNCCD at its 9</w:t>
      </w:r>
      <w:r w:rsidRPr="00CC5C3C">
        <w:rPr>
          <w:rFonts w:ascii="Times New Roman" w:hAnsi="Times New Roman" w:cs="Times New Roman"/>
        </w:rPr>
        <w:t>th</w:t>
      </w:r>
      <w:r w:rsidRPr="00DC4545">
        <w:rPr>
          <w:rFonts w:ascii="Times New Roman" w:hAnsi="Times New Roman" w:cs="Times New Roman"/>
        </w:rPr>
        <w:t xml:space="preserve"> Plenary Meeting in October 2011 that “encourages eligible Parties, taking into account the cross-sectoral nature of land degradation, to use existing potential to harness synergies across the Global Environment Facility focal areas in order further to reinforce the importance of sustainable land</w:t>
      </w:r>
      <w:r w:rsidR="00746FF7">
        <w:rPr>
          <w:rFonts w:ascii="Times New Roman" w:hAnsi="Times New Roman" w:cs="Times New Roman"/>
        </w:rPr>
        <w:t xml:space="preserve"> </w:t>
      </w:r>
      <w:r w:rsidRPr="00DC4545">
        <w:rPr>
          <w:rFonts w:ascii="Times New Roman" w:hAnsi="Times New Roman" w:cs="Times New Roman"/>
        </w:rPr>
        <w:t xml:space="preserve">management for integrating environment and developmental aspirations globally.”  </w:t>
      </w:r>
    </w:p>
    <w:p w14:paraId="37812299"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Finally, the proposed project supports the following goals </w:t>
      </w:r>
      <w:r w:rsidRPr="007E1799">
        <w:rPr>
          <w:rFonts w:ascii="Times New Roman" w:hAnsi="Times New Roman" w:cs="Times New Roman"/>
          <w:i/>
        </w:rPr>
        <w:t>inter alia</w:t>
      </w:r>
      <w:r w:rsidRPr="00DC4545">
        <w:rPr>
          <w:rFonts w:ascii="Times New Roman" w:hAnsi="Times New Roman" w:cs="Times New Roman"/>
        </w:rPr>
        <w:t xml:space="preserve"> of the 2004 CBD Programme of Work on Protected Areas: 1.2 </w:t>
      </w:r>
      <w:r w:rsidR="007E1799">
        <w:rPr>
          <w:rFonts w:ascii="Times New Roman" w:hAnsi="Times New Roman" w:cs="Times New Roman"/>
        </w:rPr>
        <w:t>To i</w:t>
      </w:r>
      <w:r w:rsidRPr="00DC4545">
        <w:rPr>
          <w:rFonts w:ascii="Times New Roman" w:hAnsi="Times New Roman" w:cs="Times New Roman"/>
        </w:rPr>
        <w:t>ntegrate protected areas into broader land</w:t>
      </w:r>
      <w:r w:rsidR="007E1799">
        <w:rPr>
          <w:rFonts w:ascii="Times New Roman" w:hAnsi="Times New Roman" w:cs="Times New Roman"/>
        </w:rPr>
        <w:t>-</w:t>
      </w:r>
      <w:r w:rsidRPr="00DC4545">
        <w:rPr>
          <w:rFonts w:ascii="Times New Roman" w:hAnsi="Times New Roman" w:cs="Times New Roman"/>
        </w:rPr>
        <w:t xml:space="preserve"> and seascapes and sectors so as to maintain ecological structure and function; 1.4 </w:t>
      </w:r>
      <w:r w:rsidR="007E1799">
        <w:rPr>
          <w:rFonts w:ascii="Times New Roman" w:hAnsi="Times New Roman" w:cs="Times New Roman"/>
        </w:rPr>
        <w:t>T</w:t>
      </w:r>
      <w:r w:rsidRPr="00DC4545">
        <w:rPr>
          <w:rFonts w:ascii="Times New Roman" w:hAnsi="Times New Roman" w:cs="Times New Roman"/>
        </w:rPr>
        <w:t>o substantially improve site-based protected area planning and management; 1.5 To prevent and mitigate the negative impacts of key threats to protected areas; 2.2 To enhance and secure involvement of indigenous and local communities and relevant stakeholders; 3.2 To build capacity for the planning, establishment and management of pro</w:t>
      </w:r>
      <w:r w:rsidR="007E1799">
        <w:rPr>
          <w:rFonts w:ascii="Times New Roman" w:hAnsi="Times New Roman" w:cs="Times New Roman"/>
        </w:rPr>
        <w:t>tected areas; 3.1 To provide an</w:t>
      </w:r>
      <w:r w:rsidRPr="00DC4545">
        <w:rPr>
          <w:rFonts w:ascii="Times New Roman" w:hAnsi="Times New Roman" w:cs="Times New Roman"/>
        </w:rPr>
        <w:t xml:space="preserve"> enabling policy, institutional and socio-economic environmen</w:t>
      </w:r>
      <w:r w:rsidR="007E1799">
        <w:rPr>
          <w:rFonts w:ascii="Times New Roman" w:hAnsi="Times New Roman" w:cs="Times New Roman"/>
        </w:rPr>
        <w:t>t for protected areas; and 3.5 T</w:t>
      </w:r>
      <w:r w:rsidRPr="00DC4545">
        <w:rPr>
          <w:rFonts w:ascii="Times New Roman" w:hAnsi="Times New Roman" w:cs="Times New Roman"/>
        </w:rPr>
        <w:t>o strengthen communication, education and public awareness.”</w:t>
      </w:r>
    </w:p>
    <w:p w14:paraId="05779CDE" w:rsidR="00133632" w:rsidRPr="00DC4545" w:rsidRDefault="00133632" w:rsidP="009C3E04">
      <w:pPr>
        <w:pStyle w:val="NoSpacing"/>
        <w:rPr>
          <w:rFonts w:ascii="Times New Roman" w:hAnsi="Times New Roman" w:cs="Times New Roman"/>
        </w:rPr>
      </w:pPr>
    </w:p>
    <w:p w14:paraId="54637B4E" w:rsidR="00133632" w:rsidRPr="00DC4545" w:rsidRDefault="00133632" w:rsidP="009C3E04">
      <w:pPr>
        <w:pStyle w:val="Heading2"/>
      </w:pPr>
      <w:bookmarkStart w:id="23" w:name="_Toc389820962"/>
      <w:r w:rsidRPr="00DC4545">
        <w:t>2.2. Country ownership:  Country eligibility and responsibility.</w:t>
      </w:r>
      <w:bookmarkEnd w:id="23"/>
    </w:p>
    <w:p w14:paraId="18A4B383" w:rsidR="00133632" w:rsidRPr="00DC4545" w:rsidRDefault="00133632" w:rsidP="009C3E04">
      <w:pPr>
        <w:pStyle w:val="NoSpacing"/>
        <w:spacing w:line="22" w:lineRule="atLeast"/>
        <w:rPr>
          <w:rFonts w:ascii="Times New Roman" w:hAnsi="Times New Roman" w:cs="Times New Roman"/>
        </w:rPr>
      </w:pPr>
    </w:p>
    <w:p w14:paraId="41FCF213" w:rsidR="007E1799"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project is designed to </w:t>
      </w:r>
      <w:r w:rsidR="007E1799">
        <w:rPr>
          <w:rFonts w:ascii="Times New Roman" w:hAnsi="Times New Roman" w:cs="Times New Roman"/>
        </w:rPr>
        <w:t xml:space="preserve">be </w:t>
      </w:r>
      <w:r w:rsidRPr="00DC4545">
        <w:rPr>
          <w:rFonts w:ascii="Times New Roman" w:hAnsi="Times New Roman" w:cs="Times New Roman"/>
        </w:rPr>
        <w:t xml:space="preserve">an instrument for </w:t>
      </w:r>
      <w:r w:rsidR="007E1799">
        <w:rPr>
          <w:rFonts w:ascii="Times New Roman" w:hAnsi="Times New Roman" w:cs="Times New Roman"/>
        </w:rPr>
        <w:t xml:space="preserve">the </w:t>
      </w:r>
      <w:r w:rsidRPr="00DC4545">
        <w:rPr>
          <w:rFonts w:ascii="Times New Roman" w:hAnsi="Times New Roman" w:cs="Times New Roman"/>
        </w:rPr>
        <w:t xml:space="preserve">localization of agreed-upon International entitlements and obligations with respect to </w:t>
      </w:r>
      <w:r w:rsidR="007E1799">
        <w:rPr>
          <w:rFonts w:ascii="Times New Roman" w:hAnsi="Times New Roman" w:cs="Times New Roman"/>
        </w:rPr>
        <w:t xml:space="preserve">the </w:t>
      </w:r>
      <w:r w:rsidRPr="00DC4545">
        <w:rPr>
          <w:rFonts w:ascii="Times New Roman" w:hAnsi="Times New Roman" w:cs="Times New Roman"/>
        </w:rPr>
        <w:t xml:space="preserve">conservation </w:t>
      </w:r>
      <w:r w:rsidR="007E1799">
        <w:rPr>
          <w:rFonts w:ascii="Times New Roman" w:hAnsi="Times New Roman" w:cs="Times New Roman"/>
        </w:rPr>
        <w:t>and</w:t>
      </w:r>
      <w:r w:rsidRPr="00DC4545">
        <w:rPr>
          <w:rFonts w:ascii="Times New Roman" w:hAnsi="Times New Roman" w:cs="Times New Roman"/>
        </w:rPr>
        <w:t xml:space="preserve"> management of BD and Ecosystems functions, goods and services.  </w:t>
      </w:r>
      <w:r w:rsidR="007E1799">
        <w:rPr>
          <w:rFonts w:ascii="Times New Roman" w:hAnsi="Times New Roman" w:cs="Times New Roman"/>
        </w:rPr>
        <w:t>A</w:t>
      </w:r>
      <w:r w:rsidRPr="00DC4545">
        <w:rPr>
          <w:rFonts w:ascii="Times New Roman" w:hAnsi="Times New Roman" w:cs="Times New Roman"/>
        </w:rPr>
        <w:t>s such</w:t>
      </w:r>
      <w:r w:rsidR="007E1799">
        <w:rPr>
          <w:rFonts w:ascii="Times New Roman" w:hAnsi="Times New Roman" w:cs="Times New Roman"/>
        </w:rPr>
        <w:t>, it</w:t>
      </w:r>
      <w:r w:rsidRPr="00DC4545">
        <w:rPr>
          <w:rFonts w:ascii="Times New Roman" w:hAnsi="Times New Roman" w:cs="Times New Roman"/>
        </w:rPr>
        <w:t xml:space="preserve"> will be implemented in the context of national strategies and plans, or reports and assessment that </w:t>
      </w:r>
      <w:r w:rsidR="007E1799">
        <w:rPr>
          <w:rFonts w:ascii="Times New Roman" w:hAnsi="Times New Roman" w:cs="Times New Roman"/>
        </w:rPr>
        <w:t>have been</w:t>
      </w:r>
      <w:r w:rsidRPr="00DC4545">
        <w:rPr>
          <w:rFonts w:ascii="Times New Roman" w:hAnsi="Times New Roman" w:cs="Times New Roman"/>
        </w:rPr>
        <w:t xml:space="preserve"> sponsored by relevant conventions. The project is consistent with and will therefore support the goals of various National Development Policies in Grenada, including the </w:t>
      </w:r>
      <w:r w:rsidRPr="00DC4545">
        <w:rPr>
          <w:rFonts w:ascii="Times New Roman" w:hAnsi="Times New Roman" w:cs="Times New Roman"/>
          <w:i/>
        </w:rPr>
        <w:t>National Strategic Development Plan (2007),</w:t>
      </w:r>
      <w:r w:rsidRPr="00DC4545">
        <w:rPr>
          <w:rFonts w:ascii="Times New Roman" w:hAnsi="Times New Roman" w:cs="Times New Roman"/>
        </w:rPr>
        <w:t xml:space="preserve"> which proposes that environmental considerations should be integrally linked to national development, identifies the need to link livelihoods and environmental sustainability, and advocates for better enforcement of laws to protect biodiversity.    In addition, both the </w:t>
      </w:r>
      <w:r w:rsidRPr="007E1799">
        <w:rPr>
          <w:rFonts w:ascii="Times New Roman" w:hAnsi="Times New Roman" w:cs="Times New Roman"/>
          <w:i/>
        </w:rPr>
        <w:t>Tourism Master Plan (1997)</w:t>
      </w:r>
      <w:r w:rsidRPr="00DC4545">
        <w:rPr>
          <w:rFonts w:ascii="Times New Roman" w:hAnsi="Times New Roman" w:cs="Times New Roman"/>
        </w:rPr>
        <w:t xml:space="preserve"> and the </w:t>
      </w:r>
      <w:r w:rsidRPr="007E1799">
        <w:rPr>
          <w:rFonts w:ascii="Times New Roman" w:hAnsi="Times New Roman" w:cs="Times New Roman"/>
          <w:i/>
        </w:rPr>
        <w:t xml:space="preserve">National Environmental Policy and Management Strategy (NEMS, 2005) </w:t>
      </w:r>
      <w:r w:rsidRPr="00DC4545">
        <w:rPr>
          <w:rFonts w:ascii="Times New Roman" w:hAnsi="Times New Roman" w:cs="Times New Roman"/>
        </w:rPr>
        <w:t>recognize the need to strengthen Grenada’s pro</w:t>
      </w:r>
      <w:r w:rsidR="007E1799">
        <w:rPr>
          <w:rFonts w:ascii="Times New Roman" w:hAnsi="Times New Roman" w:cs="Times New Roman"/>
        </w:rPr>
        <w:t>t</w:t>
      </w:r>
      <w:r w:rsidRPr="00DC4545">
        <w:rPr>
          <w:rFonts w:ascii="Times New Roman" w:hAnsi="Times New Roman" w:cs="Times New Roman"/>
        </w:rPr>
        <w:t xml:space="preserve">ected area system through the establishment of additional PA sites and the consolidation of legal </w:t>
      </w:r>
      <w:r w:rsidR="007E1799">
        <w:rPr>
          <w:rFonts w:ascii="Times New Roman" w:hAnsi="Times New Roman" w:cs="Times New Roman"/>
        </w:rPr>
        <w:t xml:space="preserve">and </w:t>
      </w:r>
      <w:r w:rsidRPr="00DC4545">
        <w:rPr>
          <w:rFonts w:ascii="Times New Roman" w:hAnsi="Times New Roman" w:cs="Times New Roman"/>
        </w:rPr>
        <w:t xml:space="preserve">institutional frameworks to manage the PA system.  </w:t>
      </w:r>
    </w:p>
    <w:p w14:paraId="2701AE2B" w:rsidR="00495073" w:rsidRPr="00DC4545" w:rsidRDefault="0049507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T</w:t>
      </w:r>
      <w:r w:rsidRPr="00DC4545">
        <w:rPr>
          <w:rFonts w:ascii="Times New Roman" w:hAnsi="Times New Roman" w:cs="Times New Roman"/>
        </w:rPr>
        <w:t>he proposed project will directly support Grenada’s effort</w:t>
      </w:r>
      <w:r>
        <w:rPr>
          <w:rFonts w:ascii="Times New Roman" w:hAnsi="Times New Roman" w:cs="Times New Roman"/>
        </w:rPr>
        <w:t>s</w:t>
      </w:r>
      <w:r w:rsidRPr="00DC4545">
        <w:rPr>
          <w:rFonts w:ascii="Times New Roman" w:hAnsi="Times New Roman" w:cs="Times New Roman"/>
        </w:rPr>
        <w:t xml:space="preserve"> to comply with its commitments related to International Environmental Conventions. In promoting the conservation and management of the country’s biodiversity, the project is consistent with </w:t>
      </w:r>
      <w:r>
        <w:rPr>
          <w:rFonts w:ascii="Times New Roman" w:hAnsi="Times New Roman" w:cs="Times New Roman"/>
        </w:rPr>
        <w:t xml:space="preserve">the Government of </w:t>
      </w:r>
      <w:r w:rsidRPr="00DC4545">
        <w:rPr>
          <w:rFonts w:ascii="Times New Roman" w:hAnsi="Times New Roman" w:cs="Times New Roman"/>
        </w:rPr>
        <w:t xml:space="preserve">Grenada’s priorities as set out in the </w:t>
      </w:r>
      <w:r w:rsidRPr="00495073">
        <w:rPr>
          <w:rFonts w:ascii="Times New Roman" w:hAnsi="Times New Roman" w:cs="Times New Roman"/>
          <w:i/>
        </w:rPr>
        <w:t>National Biodiversity Strategy and Action Plan (NBSAP, 2000)</w:t>
      </w:r>
      <w:r w:rsidRPr="00495073">
        <w:rPr>
          <w:rFonts w:ascii="Times New Roman" w:hAnsi="Times New Roman" w:cs="Times New Roman"/>
        </w:rPr>
        <w:t>,</w:t>
      </w:r>
      <w:r w:rsidRPr="00DC4545">
        <w:rPr>
          <w:rFonts w:ascii="Times New Roman" w:hAnsi="Times New Roman" w:cs="Times New Roman"/>
        </w:rPr>
        <w:t xml:space="preserve"> of which the key o</w:t>
      </w:r>
      <w:r>
        <w:rPr>
          <w:rFonts w:ascii="Times New Roman" w:hAnsi="Times New Roman" w:cs="Times New Roman"/>
        </w:rPr>
        <w:t>bjectives are: to provide broad-</w:t>
      </w:r>
      <w:r w:rsidRPr="00DC4545">
        <w:rPr>
          <w:rFonts w:ascii="Times New Roman" w:hAnsi="Times New Roman" w:cs="Times New Roman"/>
        </w:rPr>
        <w:t xml:space="preserve">based support for conservation and sustainable use of biodiversity, to protect key </w:t>
      </w:r>
      <w:r>
        <w:rPr>
          <w:rFonts w:ascii="Times New Roman" w:hAnsi="Times New Roman" w:cs="Times New Roman"/>
        </w:rPr>
        <w:t>ecosystems from negative human-</w:t>
      </w:r>
      <w:r w:rsidRPr="00DC4545">
        <w:rPr>
          <w:rFonts w:ascii="Times New Roman" w:hAnsi="Times New Roman" w:cs="Times New Roman"/>
        </w:rPr>
        <w:t>induced impacts, and to develop and encourage sustainable utilization of biological resources that are essential to the livelihoods of local communities. The project also promotes the objective</w:t>
      </w:r>
      <w:r>
        <w:rPr>
          <w:rFonts w:ascii="Times New Roman" w:hAnsi="Times New Roman" w:cs="Times New Roman"/>
        </w:rPr>
        <w:t>s</w:t>
      </w:r>
      <w:r w:rsidRPr="00DC4545">
        <w:rPr>
          <w:rFonts w:ascii="Times New Roman" w:hAnsi="Times New Roman" w:cs="Times New Roman"/>
        </w:rPr>
        <w:t xml:space="preserve"> of the </w:t>
      </w:r>
      <w:r w:rsidRPr="00495073">
        <w:rPr>
          <w:rFonts w:ascii="Times New Roman" w:hAnsi="Times New Roman" w:cs="Times New Roman"/>
          <w:i/>
        </w:rPr>
        <w:t>National Action Plan (NAP, 2006)</w:t>
      </w:r>
      <w:r w:rsidRPr="00CC5C3C">
        <w:rPr>
          <w:rFonts w:ascii="Times New Roman" w:hAnsi="Times New Roman" w:cs="Times New Roman"/>
        </w:rPr>
        <w:t xml:space="preserve"> </w:t>
      </w:r>
      <w:r w:rsidRPr="00DC4545">
        <w:rPr>
          <w:rFonts w:ascii="Times New Roman" w:hAnsi="Times New Roman" w:cs="Times New Roman"/>
        </w:rPr>
        <w:t xml:space="preserve">to support </w:t>
      </w:r>
      <w:r w:rsidRPr="00CC5C3C">
        <w:rPr>
          <w:rFonts w:ascii="Times New Roman" w:hAnsi="Times New Roman" w:cs="Times New Roman"/>
        </w:rPr>
        <w:t xml:space="preserve">the </w:t>
      </w:r>
      <w:r w:rsidRPr="00495073">
        <w:rPr>
          <w:rFonts w:ascii="Times New Roman" w:hAnsi="Times New Roman" w:cs="Times New Roman"/>
          <w:i/>
        </w:rPr>
        <w:t>UN Convention to Combat Desertification</w:t>
      </w:r>
      <w:r w:rsidRPr="00DC4545">
        <w:rPr>
          <w:rFonts w:ascii="Times New Roman" w:hAnsi="Times New Roman" w:cs="Times New Roman"/>
        </w:rPr>
        <w:t xml:space="preserve">, including identifying the factors contributing to land degradation and the physical measures required to combat land degradation and mitigate the effects of drought, and the </w:t>
      </w:r>
      <w:r w:rsidRPr="00495073">
        <w:rPr>
          <w:rFonts w:ascii="Times New Roman" w:hAnsi="Times New Roman" w:cs="Times New Roman"/>
          <w:i/>
        </w:rPr>
        <w:t>National Climate Change Policy</w:t>
      </w:r>
      <w:r>
        <w:rPr>
          <w:rFonts w:ascii="Times New Roman" w:hAnsi="Times New Roman" w:cs="Times New Roman"/>
        </w:rPr>
        <w:t xml:space="preserve">, </w:t>
      </w:r>
      <w:r w:rsidRPr="00DC4545">
        <w:rPr>
          <w:rFonts w:ascii="Times New Roman" w:hAnsi="Times New Roman" w:cs="Times New Roman"/>
        </w:rPr>
        <w:t>which identifies the need to address linkages between climate change and bio</w:t>
      </w:r>
      <w:r>
        <w:rPr>
          <w:rFonts w:ascii="Times New Roman" w:hAnsi="Times New Roman" w:cs="Times New Roman"/>
        </w:rPr>
        <w:t xml:space="preserve">logical </w:t>
      </w:r>
      <w:r w:rsidRPr="00DC4545">
        <w:rPr>
          <w:rFonts w:ascii="Times New Roman" w:hAnsi="Times New Roman" w:cs="Times New Roman"/>
        </w:rPr>
        <w:t xml:space="preserve">diversity. Other national policies and plans are also supported by this project, including Grenada’s </w:t>
      </w:r>
      <w:r w:rsidRPr="00495073">
        <w:rPr>
          <w:rFonts w:ascii="Times New Roman" w:hAnsi="Times New Roman" w:cs="Times New Roman"/>
          <w:i/>
        </w:rPr>
        <w:t>National Forest Policy</w:t>
      </w:r>
      <w:r w:rsidRPr="00CC5C3C">
        <w:rPr>
          <w:rFonts w:ascii="Times New Roman" w:hAnsi="Times New Roman" w:cs="Times New Roman"/>
        </w:rPr>
        <w:t>,</w:t>
      </w:r>
      <w:r w:rsidRPr="00DC4545">
        <w:rPr>
          <w:rFonts w:ascii="Times New Roman" w:hAnsi="Times New Roman" w:cs="Times New Roman"/>
        </w:rPr>
        <w:t xml:space="preserve"> which emphasizes the role of forest</w:t>
      </w:r>
      <w:r>
        <w:rPr>
          <w:rFonts w:ascii="Times New Roman" w:hAnsi="Times New Roman" w:cs="Times New Roman"/>
        </w:rPr>
        <w:t>s</w:t>
      </w:r>
      <w:r w:rsidRPr="00DC4545">
        <w:rPr>
          <w:rFonts w:ascii="Times New Roman" w:hAnsi="Times New Roman" w:cs="Times New Roman"/>
        </w:rPr>
        <w:t xml:space="preserve"> in maintaining biological diversity, promoting soil and water conservation, and generating income through ecotourism activities, and the Government’s </w:t>
      </w:r>
      <w:r w:rsidRPr="00495073">
        <w:rPr>
          <w:rFonts w:ascii="Times New Roman" w:hAnsi="Times New Roman" w:cs="Times New Roman"/>
          <w:i/>
        </w:rPr>
        <w:t>Grenada Forest Rehabilitation Project</w:t>
      </w:r>
      <w:r w:rsidRPr="00CC5C3C">
        <w:rPr>
          <w:rFonts w:ascii="Times New Roman" w:hAnsi="Times New Roman" w:cs="Times New Roman"/>
        </w:rPr>
        <w:t xml:space="preserve"> </w:t>
      </w:r>
      <w:r>
        <w:rPr>
          <w:rFonts w:ascii="Times New Roman" w:hAnsi="Times New Roman" w:cs="Times New Roman"/>
        </w:rPr>
        <w:t>which</w:t>
      </w:r>
      <w:r w:rsidRPr="00DC4545">
        <w:rPr>
          <w:rFonts w:ascii="Times New Roman" w:hAnsi="Times New Roman" w:cs="Times New Roman"/>
        </w:rPr>
        <w:t xml:space="preserve"> is undertaking </w:t>
      </w:r>
      <w:r>
        <w:rPr>
          <w:rFonts w:ascii="Times New Roman" w:hAnsi="Times New Roman" w:cs="Times New Roman"/>
        </w:rPr>
        <w:t>r</w:t>
      </w:r>
      <w:r w:rsidRPr="00DC4545">
        <w:rPr>
          <w:rFonts w:ascii="Times New Roman" w:hAnsi="Times New Roman" w:cs="Times New Roman"/>
        </w:rPr>
        <w:t xml:space="preserve">e-vegetation of forested areas in the aftermath of Hurricane Ivan. </w:t>
      </w:r>
    </w:p>
    <w:p w14:paraId="66AD76D7" w:rsidR="00495073" w:rsidRPr="00DC4545" w:rsidRDefault="0049507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Finally, by strengthening and expanding the country’s protected areas system, this project (along with the </w:t>
      </w:r>
      <w:r w:rsidRPr="00495073">
        <w:rPr>
          <w:rFonts w:ascii="Times New Roman" w:hAnsi="Times New Roman" w:cs="Times New Roman"/>
          <w:i/>
        </w:rPr>
        <w:t>Grenada Forest Rehabilitation Project</w:t>
      </w:r>
      <w:r w:rsidRPr="00DC4545">
        <w:rPr>
          <w:rFonts w:ascii="Times New Roman" w:hAnsi="Times New Roman" w:cs="Times New Roman"/>
        </w:rPr>
        <w:t xml:space="preserve"> and a proposed GIZ-funded project) will be a key component of the Government’s strategy to implement the </w:t>
      </w:r>
      <w:r w:rsidRPr="00495073">
        <w:rPr>
          <w:rFonts w:ascii="Times New Roman" w:hAnsi="Times New Roman" w:cs="Times New Roman"/>
          <w:i/>
        </w:rPr>
        <w:t>Grenada Protected Area System Plan (2011)</w:t>
      </w:r>
      <w:r w:rsidRPr="00DC4545">
        <w:rPr>
          <w:rFonts w:ascii="Times New Roman" w:hAnsi="Times New Roman" w:cs="Times New Roman"/>
        </w:rPr>
        <w:t xml:space="preserve">, and will assist Grenada to meet its obligations under the </w:t>
      </w:r>
      <w:r w:rsidRPr="00495073">
        <w:rPr>
          <w:rFonts w:ascii="Times New Roman" w:hAnsi="Times New Roman" w:cs="Times New Roman"/>
          <w:i/>
        </w:rPr>
        <w:t>Grenada Declaration</w:t>
      </w:r>
      <w:r w:rsidRPr="00CC5C3C">
        <w:rPr>
          <w:rFonts w:ascii="Times New Roman" w:hAnsi="Times New Roman" w:cs="Times New Roman"/>
        </w:rPr>
        <w:t xml:space="preserve">, </w:t>
      </w:r>
      <w:r w:rsidRPr="00DC4545">
        <w:rPr>
          <w:rFonts w:ascii="Times New Roman" w:hAnsi="Times New Roman" w:cs="Times New Roman"/>
        </w:rPr>
        <w:t>a pledge made at the 8</w:t>
      </w:r>
      <w:r w:rsidRPr="00CC5C3C">
        <w:rPr>
          <w:rFonts w:ascii="Times New Roman" w:hAnsi="Times New Roman" w:cs="Times New Roman"/>
        </w:rPr>
        <w:t>th</w:t>
      </w:r>
      <w:r w:rsidRPr="00DC4545">
        <w:rPr>
          <w:rFonts w:ascii="Times New Roman" w:hAnsi="Times New Roman" w:cs="Times New Roman"/>
        </w:rPr>
        <w:t xml:space="preserve"> Meeting of the Conference of Parties to the Convention of Biological Diversity in 2006 to effectively conserve at least 25% of its near shore marine area and at least 25% of its terrestrial area by 2020 as a means to contribute to the sustainable livelihoods for its people and to contrib</w:t>
      </w:r>
      <w:r>
        <w:rPr>
          <w:rFonts w:ascii="Times New Roman" w:hAnsi="Times New Roman" w:cs="Times New Roman"/>
        </w:rPr>
        <w:t>ute to the world’s biodiversity.  It will also support Grenada’s compliance with</w:t>
      </w:r>
      <w:r w:rsidRPr="00DC4545">
        <w:rPr>
          <w:rFonts w:ascii="Times New Roman" w:hAnsi="Times New Roman" w:cs="Times New Roman"/>
        </w:rPr>
        <w:t xml:space="preserve"> the </w:t>
      </w:r>
      <w:r w:rsidRPr="00CC5C3C">
        <w:rPr>
          <w:rFonts w:ascii="Times New Roman" w:hAnsi="Times New Roman" w:cs="Times New Roman"/>
        </w:rPr>
        <w:t>Caribbean Challenge (2008),</w:t>
      </w:r>
      <w:r w:rsidRPr="00DC4545">
        <w:rPr>
          <w:rFonts w:ascii="Times New Roman" w:hAnsi="Times New Roman" w:cs="Times New Roman"/>
        </w:rPr>
        <w:t xml:space="preserve"> where the country pledged to legally protect 20% of near shore areas by 2020 via expansion and improved management effectiveness of its marine protected area system</w:t>
      </w:r>
      <w:r>
        <w:rPr>
          <w:rStyle w:val="FootnoteReference"/>
          <w:rFonts w:ascii="Times New Roman" w:hAnsi="Times New Roman" w:cs="Times New Roman"/>
        </w:rPr>
        <w:footnoteReference w:id="13"/>
      </w:r>
      <w:r w:rsidRPr="00DC4545">
        <w:rPr>
          <w:rFonts w:ascii="Times New Roman" w:hAnsi="Times New Roman" w:cs="Times New Roman"/>
        </w:rPr>
        <w:t xml:space="preserve">. </w:t>
      </w:r>
    </w:p>
    <w:p w14:paraId="697AAA35" w:rsidR="00133632" w:rsidRPr="00495073" w:rsidRDefault="0049507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495073">
        <w:rPr>
          <w:rFonts w:ascii="Times New Roman" w:hAnsi="Times New Roman" w:cs="Times New Roman"/>
        </w:rPr>
        <w:t xml:space="preserve">The Ridge to Reef project is designed to enable Grenada to more effectively respond to conventions such as UNCBD, UNCCD and UNFCCC, while also supporting a body of local laws and regulations (SROs) that are outcomes of the various preceding Conventions and Protocols. </w:t>
      </w:r>
      <w:r w:rsidR="00133632" w:rsidRPr="00495073">
        <w:rPr>
          <w:rFonts w:ascii="Times New Roman" w:hAnsi="Times New Roman" w:cs="Times New Roman"/>
        </w:rPr>
        <w:t>Each of these national strategies, policy statements, plans, reports and assessments identify strongly and directly with livelihoods and with the conservation and management of ecosystem services and BD.</w:t>
      </w:r>
    </w:p>
    <w:p w14:paraId="5C461A82" w:rsidR="00133632" w:rsidRPr="00DC4545" w:rsidRDefault="00133632" w:rsidP="009C3E04">
      <w:pPr>
        <w:pStyle w:val="NoSpacing"/>
        <w:spacing w:line="22" w:lineRule="atLeast"/>
        <w:rPr>
          <w:rFonts w:ascii="Times New Roman" w:hAnsi="Times New Roman" w:cs="Times New Roman"/>
        </w:rPr>
      </w:pPr>
    </w:p>
    <w:p w14:paraId="3612068E" w:rsidR="00133632" w:rsidRPr="00DC4545" w:rsidRDefault="00133632" w:rsidP="009C3E04">
      <w:pPr>
        <w:pStyle w:val="Heading2"/>
      </w:pPr>
      <w:bookmarkStart w:id="24" w:name="_Toc389820963"/>
      <w:r w:rsidRPr="00DC4545">
        <w:t>2.3 Design principles and Strategic considerations</w:t>
      </w:r>
      <w:bookmarkEnd w:id="24"/>
    </w:p>
    <w:p w14:paraId="0FED19BA" w:rsidR="00133632" w:rsidRPr="00DC4545" w:rsidRDefault="00133632" w:rsidP="009C3E04">
      <w:pPr>
        <w:pStyle w:val="Heading3"/>
      </w:pPr>
      <w:bookmarkStart w:id="25" w:name="_Toc384726882"/>
      <w:bookmarkStart w:id="26" w:name="_Toc384727795"/>
      <w:bookmarkStart w:id="27" w:name="_Toc387085901"/>
      <w:bookmarkStart w:id="28" w:name="_Toc387615940"/>
      <w:bookmarkStart w:id="29" w:name="_Toc389820964"/>
      <w:r w:rsidRPr="00DC4545">
        <w:t>UNDP’s Comparative Advantage</w:t>
      </w:r>
      <w:bookmarkEnd w:id="25"/>
      <w:bookmarkEnd w:id="26"/>
      <w:bookmarkEnd w:id="27"/>
      <w:bookmarkEnd w:id="28"/>
      <w:bookmarkEnd w:id="29"/>
    </w:p>
    <w:p w14:paraId="3DFE2074" w:rsidR="00133632" w:rsidRPr="00DC4545" w:rsidRDefault="00133632" w:rsidP="009C3E04">
      <w:pPr>
        <w:pStyle w:val="NoSpacing"/>
        <w:spacing w:line="22" w:lineRule="atLeast"/>
        <w:rPr>
          <w:rFonts w:ascii="Times New Roman" w:hAnsi="Times New Roman" w:cs="Times New Roman"/>
          <w:b/>
        </w:rPr>
      </w:pPr>
    </w:p>
    <w:p w14:paraId="260A3672"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UNDP’s comparative advantage for the GEF comes as a result of its global network of regional and country offices, its experience in integrated policy development and human resources development in Grenada and institutional and non-governmental and community participation specified in comparative advantage of the GEF agencies (GEFC .31 / 5 rev. I). The UNDP has formal engagements with the Government of Grenada for promoting, designing and implementing activities (based on multi-year cycles) consistent with the GEF mandate and the national sustainable development plans.  UNDP has been identified as the appropriate GEF implementing agency by Government of Grenada based on its demonstrated experience working on multiple GEF BD projects.  The program manager of the UNDP Barbados and OECS office in Barbados will continue to provide technical, financial, administrative and management support.  In addition, the regional </w:t>
      </w:r>
      <w:r w:rsidR="001D3921">
        <w:rPr>
          <w:rFonts w:ascii="Times New Roman" w:hAnsi="Times New Roman" w:cs="Times New Roman"/>
        </w:rPr>
        <w:t xml:space="preserve">technical </w:t>
      </w:r>
      <w:r w:rsidRPr="00DC4545">
        <w:rPr>
          <w:rFonts w:ascii="Times New Roman" w:hAnsi="Times New Roman" w:cs="Times New Roman"/>
        </w:rPr>
        <w:t xml:space="preserve">advisor stationed at </w:t>
      </w:r>
      <w:r w:rsidR="001D3921">
        <w:rPr>
          <w:rFonts w:ascii="Times New Roman" w:hAnsi="Times New Roman" w:cs="Times New Roman"/>
        </w:rPr>
        <w:t xml:space="preserve">the </w:t>
      </w:r>
      <w:r w:rsidRPr="00DC4545">
        <w:rPr>
          <w:rFonts w:ascii="Times New Roman" w:hAnsi="Times New Roman" w:cs="Times New Roman"/>
        </w:rPr>
        <w:t xml:space="preserve">Regional UNDP/GEF office </w:t>
      </w:r>
      <w:r w:rsidR="001D3921">
        <w:rPr>
          <w:rFonts w:ascii="Times New Roman" w:hAnsi="Times New Roman" w:cs="Times New Roman"/>
        </w:rPr>
        <w:t xml:space="preserve">in Panama </w:t>
      </w:r>
      <w:r w:rsidRPr="00DC4545">
        <w:rPr>
          <w:rFonts w:ascii="Times New Roman" w:hAnsi="Times New Roman" w:cs="Times New Roman"/>
        </w:rPr>
        <w:t xml:space="preserve">will continue to support the project </w:t>
      </w:r>
      <w:r w:rsidR="001D3921">
        <w:rPr>
          <w:rFonts w:ascii="Times New Roman" w:hAnsi="Times New Roman" w:cs="Times New Roman"/>
        </w:rPr>
        <w:t>throughout its implementation</w:t>
      </w:r>
      <w:r w:rsidRPr="00DC4545">
        <w:rPr>
          <w:rFonts w:ascii="Times New Roman" w:hAnsi="Times New Roman" w:cs="Times New Roman"/>
        </w:rPr>
        <w:t xml:space="preserve"> by offering assistance in the thematic areas of BD</w:t>
      </w:r>
      <w:r w:rsidR="001D3921">
        <w:rPr>
          <w:rFonts w:ascii="Times New Roman" w:hAnsi="Times New Roman" w:cs="Times New Roman"/>
        </w:rPr>
        <w:t>, LD</w:t>
      </w:r>
      <w:r w:rsidRPr="00DC4545">
        <w:rPr>
          <w:rFonts w:ascii="Times New Roman" w:hAnsi="Times New Roman" w:cs="Times New Roman"/>
        </w:rPr>
        <w:t xml:space="preserve"> and </w:t>
      </w:r>
      <w:r w:rsidR="001D3921">
        <w:rPr>
          <w:rFonts w:ascii="Times New Roman" w:hAnsi="Times New Roman" w:cs="Times New Roman"/>
        </w:rPr>
        <w:t>SFM-</w:t>
      </w:r>
      <w:r w:rsidRPr="00DC4545">
        <w:rPr>
          <w:rFonts w:ascii="Times New Roman" w:hAnsi="Times New Roman" w:cs="Times New Roman"/>
        </w:rPr>
        <w:t>REDD+.</w:t>
      </w:r>
    </w:p>
    <w:p w14:paraId="65DF315F" w:rsidR="00133632" w:rsidRPr="00DC4545" w:rsidRDefault="00133632" w:rsidP="009C3E04">
      <w:pPr>
        <w:pStyle w:val="Heading3"/>
      </w:pPr>
      <w:bookmarkStart w:id="30" w:name="_Toc384726883"/>
      <w:bookmarkStart w:id="31" w:name="_Toc384727796"/>
      <w:bookmarkStart w:id="32" w:name="_Toc387085902"/>
      <w:bookmarkStart w:id="33" w:name="_Toc387615941"/>
      <w:bookmarkStart w:id="34" w:name="_Toc389820965"/>
      <w:r w:rsidRPr="00DC4545">
        <w:t>Coordination with Other Regional and Local Initiatives</w:t>
      </w:r>
      <w:bookmarkEnd w:id="30"/>
      <w:bookmarkEnd w:id="31"/>
      <w:bookmarkEnd w:id="32"/>
      <w:bookmarkEnd w:id="33"/>
      <w:bookmarkEnd w:id="34"/>
    </w:p>
    <w:p w14:paraId="75EB8552" w:rsidR="00133632" w:rsidRPr="00DC4545" w:rsidRDefault="00133632" w:rsidP="009C3E04">
      <w:pPr>
        <w:pStyle w:val="NoSpacing"/>
        <w:spacing w:line="264" w:lineRule="auto"/>
        <w:rPr>
          <w:rFonts w:ascii="Times New Roman" w:hAnsi="Times New Roman" w:cs="Times New Roman"/>
          <w:b/>
        </w:rPr>
      </w:pPr>
    </w:p>
    <w:p w14:paraId="15E37A88" w:rsidR="00E71614" w:rsidRPr="00E71614"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Grenada Ridge to Reef project is designed to seek for and accommodate co-financing / co-programming for planned activities, as niche financing, from concurrent projects at the regional or local level.  </w:t>
      </w:r>
      <w:r w:rsidR="00E71614" w:rsidRPr="00E71614">
        <w:rPr>
          <w:rFonts w:ascii="Times New Roman" w:hAnsi="Times New Roman" w:cs="Times New Roman"/>
        </w:rPr>
        <w:t>Implementation of the proposed project will be carried out in coordination with several other projects, as described below:</w:t>
      </w:r>
    </w:p>
    <w:p w14:paraId="4667E0A5" w:rsidR="00E71614" w:rsidRPr="00E71614" w:rsidRDefault="00E7161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B9018B">
        <w:rPr>
          <w:rFonts w:ascii="Times New Roman" w:hAnsi="Times New Roman" w:cs="Times New Roman"/>
          <w:u w:val="single"/>
        </w:rPr>
        <w:t>Implementing Integrated Land, Water &amp; Wastewater Management in Caribbean SIDS project</w:t>
      </w:r>
      <w:r w:rsidRPr="00E71614">
        <w:rPr>
          <w:rFonts w:ascii="Times New Roman" w:hAnsi="Times New Roman" w:cs="Times New Roman"/>
        </w:rPr>
        <w:t xml:space="preserve"> (2012-2016) with GEF funding of US$20.4 million.  In Grenada, the lead agencies are the Ministry of Agriculture through the Land Use Division and the Forestry Department.  Activities in Grenada will focus on: 1) Develop and apply national IW related indicators and strengthen the scientific basis for effective monitoring and assessment in the LD and related BD Focal Areas, by developing improved methods for multi-scale assessment and monitoring of land degradation trends, and for impact monitoring of GEF investment in SLM and ecosystem services maintenance; 2) Policy, legislative and institutional reforms and capacity building for IWRM / SLM, including reforms that address lack of financing and policy, tools and guidelines for the future sustainable use of water resources and sustainable forest management, waste-water management, and protection from drought; as well as coordination among relevant national sectors and strengthening and expansion of National Inter-sectoral Committees (NICs), harmonization with national plans, and implementation of programmes of cross-sectoral sensitization and awareness raising, along with training and capacity building in the identified national institutions and private sector; and 3) Knowledge Exchange, best-practices, replication and stakeholder involvement</w:t>
      </w:r>
      <w:r w:rsidR="00B9018B">
        <w:rPr>
          <w:rFonts w:ascii="Times New Roman" w:hAnsi="Times New Roman" w:cs="Times New Roman"/>
        </w:rPr>
        <w:t xml:space="preserve"> </w:t>
      </w:r>
      <w:r w:rsidRPr="00E71614">
        <w:rPr>
          <w:rFonts w:ascii="Times New Roman" w:hAnsi="Times New Roman" w:cs="Times New Roman"/>
        </w:rPr>
        <w:t>to identify and share best practices and lessons in relation to water resource management/use methodologies; consultative dialogues to ensure engagement of relevant policy, sectoral, local community and expertise (scientific, technical, etc.), ensuring input from local communities and associated structures (for instance fishers associations, farmers associations, NGOs, CBOs and local government).</w:t>
      </w:r>
    </w:p>
    <w:p w14:paraId="4421A74E" w:rsidR="00E71614" w:rsidRDefault="00E7161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B9018B">
        <w:rPr>
          <w:rFonts w:ascii="Times New Roman" w:hAnsi="Times New Roman" w:cs="Times New Roman"/>
          <w:u w:val="single"/>
        </w:rPr>
        <w:t>Sustainable Financing &amp; Management of Eastern Caribbean Marine Ecosystem Project</w:t>
      </w:r>
      <w:r w:rsidRPr="00E71614">
        <w:rPr>
          <w:rFonts w:ascii="Times New Roman" w:hAnsi="Times New Roman" w:cs="Times New Roman"/>
        </w:rPr>
        <w:t>: This GEF-WB-TNC project, launched in March 2012, has a total Budget of US$19.4 million, includi</w:t>
      </w:r>
      <w:r w:rsidR="00B9018B">
        <w:rPr>
          <w:rFonts w:ascii="Times New Roman" w:hAnsi="Times New Roman" w:cs="Times New Roman"/>
        </w:rPr>
        <w:t>ng $8.75 million from the GEF.</w:t>
      </w:r>
      <w:r w:rsidRPr="00E71614">
        <w:rPr>
          <w:rFonts w:ascii="Times New Roman" w:hAnsi="Times New Roman" w:cs="Times New Roman"/>
        </w:rPr>
        <w:t xml:space="preserve"> </w:t>
      </w:r>
      <w:r w:rsidR="00B9018B">
        <w:rPr>
          <w:rFonts w:ascii="Times New Roman" w:hAnsi="Times New Roman" w:cs="Times New Roman"/>
        </w:rPr>
        <w:t xml:space="preserve"> </w:t>
      </w:r>
      <w:r w:rsidRPr="00E71614">
        <w:rPr>
          <w:rFonts w:ascii="Times New Roman" w:hAnsi="Times New Roman" w:cs="Times New Roman"/>
        </w:rPr>
        <w:t>Component 1 of the project, “Establishment of sustainable financing mechanisms”, will establish a Caribbean Biodiversity Fund (CBF) for participating OECS countries (Antigua and Barbuda; Grenada; St. Kitts and Nevis; St. Lucia; and St. Vincent and the Grenadines) with an endowment of at least US$15 million to generate income for protected areas management, as well as national level trust funds (NPATFs) providing at least US$1.5 million per year in total to the five participating countries by the end of the project.  Component 2 of the project, “Strengthening and phased expansion of Marine Protected Area Networks”, will gazette at least five new marine protected areas and establish at least two demonstration sites to generate useful MPA management information and lessons for other countries in the Caribbean region.  Component 3 of the project, “Deployment of a regional monitoring and information system” is intended to establish a database on status and trends in the protected area systems of the OECS countries, which could serve as a decision support tool to natural resource managers and policy</w:t>
      </w:r>
      <w:r w:rsidR="00904B28">
        <w:rPr>
          <w:rFonts w:ascii="Times New Roman" w:hAnsi="Times New Roman" w:cs="Times New Roman"/>
        </w:rPr>
        <w:t xml:space="preserve"> </w:t>
      </w:r>
      <w:r w:rsidRPr="00E71614">
        <w:rPr>
          <w:rFonts w:ascii="Times New Roman" w:hAnsi="Times New Roman" w:cs="Times New Roman"/>
        </w:rPr>
        <w:t xml:space="preserve">makers. Although the emphasis of this component would be on Coastal and Marine Protected Area networks, the methods and indicators developed would be highly relevant to terrestrial protected areas.  In Grenada, the Woburn / Clarke’s Court Bay Marine Protected Area has been selected as one of the two demonstration sites in which a suite of activities to enhance management effectiveness will be supported by the project. Specific activities will be selected during project implementation, but possibilities identified include: development of managed dive and snorkel sites; multiple use zoning and demarcation activities; education and outreach programs; capacity building at the community level for ecotourism; incentives for fostering partnerships with research institutions; and Sustainable Development Action Plans (SDAPs).  The </w:t>
      </w:r>
      <w:r w:rsidR="00B9018B">
        <w:rPr>
          <w:rFonts w:ascii="Times New Roman" w:hAnsi="Times New Roman" w:cs="Times New Roman"/>
        </w:rPr>
        <w:t>Ridge to Reef</w:t>
      </w:r>
      <w:r w:rsidRPr="00E71614">
        <w:rPr>
          <w:rFonts w:ascii="Times New Roman" w:hAnsi="Times New Roman" w:cs="Times New Roman"/>
        </w:rPr>
        <w:t xml:space="preserve"> project will complement this regional project by </w:t>
      </w:r>
      <w:r w:rsidR="0096609D">
        <w:rPr>
          <w:rFonts w:ascii="Times New Roman" w:hAnsi="Times New Roman" w:cs="Times New Roman"/>
        </w:rPr>
        <w:t xml:space="preserve">(i) </w:t>
      </w:r>
      <w:r w:rsidRPr="00E71614">
        <w:rPr>
          <w:rFonts w:ascii="Times New Roman" w:hAnsi="Times New Roman" w:cs="Times New Roman"/>
        </w:rPr>
        <w:t xml:space="preserve">supporting the development of management plans; </w:t>
      </w:r>
      <w:r w:rsidR="0096609D">
        <w:rPr>
          <w:rFonts w:ascii="Times New Roman" w:hAnsi="Times New Roman" w:cs="Times New Roman"/>
        </w:rPr>
        <w:t>(ii)</w:t>
      </w:r>
      <w:r w:rsidRPr="00E71614">
        <w:rPr>
          <w:rFonts w:ascii="Times New Roman" w:hAnsi="Times New Roman" w:cs="Times New Roman"/>
        </w:rPr>
        <w:t xml:space="preserve"> expanding the national network of both new and existing </w:t>
      </w:r>
      <w:r w:rsidR="0096609D">
        <w:rPr>
          <w:rFonts w:ascii="Times New Roman" w:hAnsi="Times New Roman" w:cs="Times New Roman"/>
        </w:rPr>
        <w:t>TPAs</w:t>
      </w:r>
      <w:r w:rsidRPr="00E71614">
        <w:rPr>
          <w:rFonts w:ascii="Times New Roman" w:hAnsi="Times New Roman" w:cs="Times New Roman"/>
        </w:rPr>
        <w:t xml:space="preserve"> and </w:t>
      </w:r>
      <w:r w:rsidR="0096609D">
        <w:rPr>
          <w:rFonts w:ascii="Times New Roman" w:hAnsi="Times New Roman" w:cs="Times New Roman"/>
        </w:rPr>
        <w:t>MPAs,</w:t>
      </w:r>
      <w:r w:rsidRPr="00E71614">
        <w:rPr>
          <w:rFonts w:ascii="Times New Roman" w:hAnsi="Times New Roman" w:cs="Times New Roman"/>
        </w:rPr>
        <w:t xml:space="preserve"> and improving on-the-ground protection at those sites; and </w:t>
      </w:r>
      <w:r w:rsidR="0096609D">
        <w:rPr>
          <w:rFonts w:ascii="Times New Roman" w:hAnsi="Times New Roman" w:cs="Times New Roman"/>
        </w:rPr>
        <w:t xml:space="preserve">(iii) </w:t>
      </w:r>
      <w:r w:rsidRPr="00E71614">
        <w:rPr>
          <w:rFonts w:ascii="Times New Roman" w:hAnsi="Times New Roman" w:cs="Times New Roman"/>
        </w:rPr>
        <w:t xml:space="preserve"> developing other PA financing options (e.g. visitor fees).</w:t>
      </w:r>
    </w:p>
    <w:p w14:paraId="68E4EF09" w:rsidR="00921D52" w:rsidRPr="00921D52" w:rsidRDefault="00AD766C" w:rsidP="00AD766C">
      <w:pPr>
        <w:pStyle w:val="ListParagraph"/>
        <w:numPr>
          <w:ilvl w:val="0"/>
          <w:numId w:val="27"/>
        </w:numPr>
        <w:spacing w:after="240" w:line="240" w:lineRule="auto"/>
        <w:ind w:left="0" w:firstLine="0"/>
        <w:contextualSpacing w:val="0"/>
        <w:jc w:val="both"/>
        <w:rPr>
          <w:rFonts w:ascii="Times New Roman" w:hAnsi="Times New Roman" w:cs="Times New Roman"/>
        </w:rPr>
      </w:pPr>
      <w:r w:rsidRPr="00AD766C">
        <w:rPr>
          <w:rFonts w:ascii="Times New Roman" w:hAnsi="Times New Roman" w:cs="Times New Roman"/>
        </w:rPr>
        <w:t xml:space="preserve">Grenada’s Ministry of Agriculture, Lands, Forestry, Fisheries &amp; Environment launched the Caribbean Aqua-Terrestrial Solutions (CATS) regional development cooperation </w:t>
      </w:r>
      <w:r>
        <w:rPr>
          <w:rFonts w:ascii="Times New Roman" w:hAnsi="Times New Roman" w:cs="Times New Roman"/>
        </w:rPr>
        <w:t>program</w:t>
      </w:r>
      <w:r w:rsidRPr="00AD766C">
        <w:rPr>
          <w:rFonts w:ascii="Times New Roman" w:hAnsi="Times New Roman" w:cs="Times New Roman"/>
        </w:rPr>
        <w:t xml:space="preserve"> between CARICOM and GIZ </w:t>
      </w:r>
      <w:r>
        <w:rPr>
          <w:rFonts w:ascii="Times New Roman" w:hAnsi="Times New Roman" w:cs="Times New Roman"/>
        </w:rPr>
        <w:t>in November 2013</w:t>
      </w:r>
      <w:r w:rsidR="00617E80">
        <w:rPr>
          <w:rStyle w:val="FootnoteReference"/>
          <w:rFonts w:ascii="Times New Roman" w:hAnsi="Times New Roman" w:cs="Times New Roman"/>
        </w:rPr>
        <w:footnoteReference w:id="14"/>
      </w:r>
      <w:r>
        <w:rPr>
          <w:rFonts w:ascii="Times New Roman" w:hAnsi="Times New Roman" w:cs="Times New Roman"/>
        </w:rPr>
        <w:t xml:space="preserve">. CATS </w:t>
      </w:r>
      <w:r w:rsidRPr="00AD766C">
        <w:rPr>
          <w:rFonts w:ascii="Times New Roman" w:hAnsi="Times New Roman" w:cs="Times New Roman"/>
        </w:rPr>
        <w:t xml:space="preserve">acts as an umbrella program for </w:t>
      </w:r>
      <w:r>
        <w:rPr>
          <w:rFonts w:ascii="Times New Roman" w:hAnsi="Times New Roman" w:cs="Times New Roman"/>
        </w:rPr>
        <w:t>two other</w:t>
      </w:r>
      <w:r w:rsidRPr="00AD766C">
        <w:rPr>
          <w:rFonts w:ascii="Times New Roman" w:hAnsi="Times New Roman" w:cs="Times New Roman"/>
        </w:rPr>
        <w:t xml:space="preserve"> regional projects as part of its efforts to aid the Caribbean region to effectively coordinate the support provided by various international development partners and NGOs.</w:t>
      </w:r>
      <w:r>
        <w:rPr>
          <w:rFonts w:ascii="Times New Roman" w:hAnsi="Times New Roman" w:cs="Times New Roman"/>
        </w:rPr>
        <w:t xml:space="preserve"> These are: </w:t>
      </w:r>
      <w:r w:rsidRPr="00AD766C">
        <w:rPr>
          <w:rFonts w:ascii="Times New Roman" w:hAnsi="Times New Roman" w:cs="Times New Roman"/>
        </w:rPr>
        <w:t xml:space="preserve"> </w:t>
      </w:r>
      <w:r w:rsidRPr="00921D52">
        <w:rPr>
          <w:rFonts w:ascii="Times New Roman" w:hAnsi="Times New Roman" w:cs="Times New Roman"/>
        </w:rPr>
        <w:t>“</w:t>
      </w:r>
      <w:r w:rsidRPr="00DD1C53">
        <w:rPr>
          <w:rFonts w:ascii="Times New Roman" w:hAnsi="Times New Roman" w:cs="Times New Roman"/>
          <w:u w:val="single"/>
        </w:rPr>
        <w:t>Improving the Management of Coastal Resources and the Conservation of the Marine Biodiversity in the Caribbean Region</w:t>
      </w:r>
      <w:r w:rsidRPr="00921D52">
        <w:rPr>
          <w:rFonts w:ascii="Times New Roman" w:hAnsi="Times New Roman" w:cs="Times New Roman"/>
        </w:rPr>
        <w:t>” and “</w:t>
      </w:r>
      <w:r w:rsidRPr="00DD1C53">
        <w:rPr>
          <w:rFonts w:ascii="Times New Roman" w:hAnsi="Times New Roman" w:cs="Times New Roman"/>
          <w:u w:val="single"/>
        </w:rPr>
        <w:t>Enhancing the Adaptive Capacity of Rural Economies and Natural Resources to Climate Change in selected Caribbean Small Island and Low Lying Coastal Developing States</w:t>
      </w:r>
      <w:r>
        <w:rPr>
          <w:rFonts w:ascii="Times New Roman" w:hAnsi="Times New Roman" w:cs="Times New Roman"/>
          <w:u w:val="single"/>
        </w:rPr>
        <w:t>.</w:t>
      </w:r>
      <w:r w:rsidRPr="00921D52">
        <w:rPr>
          <w:rFonts w:ascii="Times New Roman" w:hAnsi="Times New Roman" w:cs="Times New Roman"/>
        </w:rPr>
        <w:t>”</w:t>
      </w:r>
      <w:r w:rsidRPr="00AD766C">
        <w:rPr>
          <w:rFonts w:ascii="Times New Roman" w:hAnsi="Times New Roman" w:cs="Times New Roman"/>
        </w:rPr>
        <w:t xml:space="preserve"> </w:t>
      </w:r>
      <w:r>
        <w:rPr>
          <w:rFonts w:ascii="Times New Roman" w:hAnsi="Times New Roman" w:cs="Times New Roman"/>
        </w:rPr>
        <w:t xml:space="preserve"> </w:t>
      </w:r>
      <w:r w:rsidR="00921D52">
        <w:rPr>
          <w:rFonts w:ascii="Times New Roman" w:hAnsi="Times New Roman" w:cs="Times New Roman"/>
        </w:rPr>
        <w:t xml:space="preserve">The </w:t>
      </w:r>
      <w:r>
        <w:rPr>
          <w:rFonts w:ascii="Times New Roman" w:hAnsi="Times New Roman" w:cs="Times New Roman"/>
        </w:rPr>
        <w:t xml:space="preserve">R2R </w:t>
      </w:r>
      <w:r w:rsidR="00921D52">
        <w:rPr>
          <w:rFonts w:ascii="Times New Roman" w:hAnsi="Times New Roman" w:cs="Times New Roman"/>
        </w:rPr>
        <w:t xml:space="preserve">project has been in contact with </w:t>
      </w:r>
      <w:r>
        <w:rPr>
          <w:rFonts w:ascii="Times New Roman" w:hAnsi="Times New Roman" w:cs="Times New Roman"/>
        </w:rPr>
        <w:t xml:space="preserve">these </w:t>
      </w:r>
      <w:r w:rsidR="00921D52">
        <w:rPr>
          <w:rFonts w:ascii="Times New Roman" w:hAnsi="Times New Roman" w:cs="Times New Roman"/>
        </w:rPr>
        <w:t>two regional initiatives to determine the feasibility of coordinating complementary activ</w:t>
      </w:r>
      <w:r>
        <w:rPr>
          <w:rFonts w:ascii="Times New Roman" w:hAnsi="Times New Roman" w:cs="Times New Roman"/>
        </w:rPr>
        <w:t>ities and identifying synergies</w:t>
      </w:r>
      <w:r w:rsidR="00921D52" w:rsidRPr="00921D52">
        <w:rPr>
          <w:rFonts w:ascii="Times New Roman" w:hAnsi="Times New Roman" w:cs="Times New Roman"/>
        </w:rPr>
        <w:t>.</w:t>
      </w:r>
      <w:r w:rsidR="00300C5F" w:rsidRPr="00300C5F">
        <w:t xml:space="preserve"> </w:t>
      </w:r>
      <w:r w:rsidR="00300C5F" w:rsidRPr="00300C5F">
        <w:rPr>
          <w:rFonts w:ascii="Times New Roman" w:hAnsi="Times New Roman" w:cs="Times New Roman"/>
        </w:rPr>
        <w:t>The two regional projects are anticipated to contribute to future planning exercises</w:t>
      </w:r>
      <w:r>
        <w:rPr>
          <w:rFonts w:ascii="Times New Roman" w:hAnsi="Times New Roman" w:cs="Times New Roman"/>
        </w:rPr>
        <w:t xml:space="preserve"> by the R2R project proponents. </w:t>
      </w:r>
      <w:r w:rsidRPr="00AD766C">
        <w:rPr>
          <w:rFonts w:ascii="Times New Roman" w:hAnsi="Times New Roman" w:cs="Times New Roman"/>
        </w:rPr>
        <w:t xml:space="preserve">While initial discussions with these initiatives highlighted potential areas for synergies, further contact needs to be made between </w:t>
      </w:r>
      <w:r>
        <w:rPr>
          <w:rFonts w:ascii="Times New Roman" w:hAnsi="Times New Roman" w:cs="Times New Roman"/>
        </w:rPr>
        <w:t xml:space="preserve">MoA, </w:t>
      </w:r>
      <w:r w:rsidRPr="00AD766C">
        <w:rPr>
          <w:rFonts w:ascii="Times New Roman" w:hAnsi="Times New Roman" w:cs="Times New Roman"/>
        </w:rPr>
        <w:t>UNDP and GIZ to solidify the interaction and collabor</w:t>
      </w:r>
      <w:r>
        <w:rPr>
          <w:rFonts w:ascii="Times New Roman" w:hAnsi="Times New Roman" w:cs="Times New Roman"/>
        </w:rPr>
        <w:t>ation between these initiatives</w:t>
      </w:r>
      <w:r w:rsidR="00300C5F" w:rsidRPr="00300C5F">
        <w:rPr>
          <w:rFonts w:ascii="Times New Roman" w:hAnsi="Times New Roman" w:cs="Times New Roman"/>
        </w:rPr>
        <w:t>.</w:t>
      </w:r>
    </w:p>
    <w:p w14:paraId="6A85F53D" w:rsidR="0013363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E71614">
        <w:rPr>
          <w:rFonts w:ascii="Times New Roman" w:hAnsi="Times New Roman" w:cs="Times New Roman"/>
        </w:rPr>
        <w:t xml:space="preserve">  </w:t>
      </w:r>
      <w:r w:rsidR="00854957">
        <w:rPr>
          <w:rFonts w:ascii="Times New Roman" w:hAnsi="Times New Roman" w:cs="Times New Roman"/>
        </w:rPr>
        <w:t>Furthermore,</w:t>
      </w:r>
      <w:r w:rsidR="00854957" w:rsidRPr="00854957">
        <w:rPr>
          <w:rFonts w:ascii="Times New Roman" w:hAnsi="Times New Roman" w:cs="Times New Roman"/>
        </w:rPr>
        <w:t xml:space="preserve"> </w:t>
      </w:r>
      <w:r w:rsidR="00854957">
        <w:rPr>
          <w:rFonts w:ascii="Times New Roman" w:hAnsi="Times New Roman" w:cs="Times New Roman"/>
        </w:rPr>
        <w:t xml:space="preserve">the </w:t>
      </w:r>
      <w:r w:rsidR="00854957" w:rsidRPr="00D632F5">
        <w:rPr>
          <w:rFonts w:ascii="Times New Roman" w:hAnsi="Times New Roman" w:cs="Times New Roman"/>
        </w:rPr>
        <w:t xml:space="preserve">SLM and SFM  practices and </w:t>
      </w:r>
      <w:r w:rsidR="00854957">
        <w:rPr>
          <w:rFonts w:ascii="Times New Roman" w:hAnsi="Times New Roman" w:cs="Times New Roman"/>
        </w:rPr>
        <w:t>Ridge-to-Reef</w:t>
      </w:r>
      <w:r w:rsidR="00854957" w:rsidRPr="00D632F5">
        <w:rPr>
          <w:rFonts w:ascii="Times New Roman" w:hAnsi="Times New Roman" w:cs="Times New Roman"/>
        </w:rPr>
        <w:t xml:space="preserve"> approach for  BD-LD conservation demonstrated in the Beausejour  watershed  will be promoted  in other baseline initiatives,  such as the ongoing re-vegetation of forested areas in the aftermath of Hu</w:t>
      </w:r>
      <w:r w:rsidR="00854957">
        <w:rPr>
          <w:rFonts w:ascii="Times New Roman" w:hAnsi="Times New Roman" w:cs="Times New Roman"/>
        </w:rPr>
        <w:t>rricane Ivan; the Programme on</w:t>
      </w:r>
      <w:r w:rsidR="00854957" w:rsidRPr="00D632F5">
        <w:rPr>
          <w:rFonts w:ascii="Times New Roman" w:hAnsi="Times New Roman" w:cs="Times New Roman"/>
        </w:rPr>
        <w:t xml:space="preserve"> Integrated Adaptation Strategies in Grenada, which is implementing Climate Resilient Integrated Water and Coastal Resource Management  activities; and the Strategic Program for Climate Resilience, which is undertaking refor</w:t>
      </w:r>
      <w:r w:rsidR="0096609D">
        <w:rPr>
          <w:rFonts w:ascii="Times New Roman" w:hAnsi="Times New Roman" w:cs="Times New Roman"/>
        </w:rPr>
        <w:t>estation and sustainable forest</w:t>
      </w:r>
      <w:r w:rsidR="00854957" w:rsidRPr="00D632F5">
        <w:rPr>
          <w:rFonts w:ascii="Times New Roman" w:hAnsi="Times New Roman" w:cs="Times New Roman"/>
        </w:rPr>
        <w:t xml:space="preserve"> management activities.  </w:t>
      </w:r>
      <w:r w:rsidRPr="00E71614">
        <w:rPr>
          <w:rFonts w:ascii="Times New Roman" w:hAnsi="Times New Roman" w:cs="Times New Roman"/>
        </w:rPr>
        <w:t>These projects</w:t>
      </w:r>
      <w:r w:rsidR="00E71614">
        <w:rPr>
          <w:rFonts w:ascii="Times New Roman" w:hAnsi="Times New Roman" w:cs="Times New Roman"/>
        </w:rPr>
        <w:t>,</w:t>
      </w:r>
      <w:r w:rsidRPr="00E71614">
        <w:rPr>
          <w:rFonts w:ascii="Times New Roman" w:hAnsi="Times New Roman" w:cs="Times New Roman"/>
        </w:rPr>
        <w:t xml:space="preserve"> among others</w:t>
      </w:r>
      <w:r w:rsidR="00E71614">
        <w:rPr>
          <w:rFonts w:ascii="Times New Roman" w:hAnsi="Times New Roman" w:cs="Times New Roman"/>
        </w:rPr>
        <w:t>,</w:t>
      </w:r>
      <w:r w:rsidRPr="00E71614">
        <w:rPr>
          <w:rFonts w:ascii="Times New Roman" w:hAnsi="Times New Roman" w:cs="Times New Roman"/>
        </w:rPr>
        <w:t xml:space="preserve"> are potential sources of co-financing or co-programming, and collaboration with each will be negotiated and written commitments will be sought with regard</w:t>
      </w:r>
      <w:r w:rsidR="00E71614" w:rsidRPr="00E71614">
        <w:rPr>
          <w:rFonts w:ascii="Times New Roman" w:hAnsi="Times New Roman" w:cs="Times New Roman"/>
        </w:rPr>
        <w:t>s to</w:t>
      </w:r>
      <w:r w:rsidRPr="00E71614">
        <w:rPr>
          <w:rFonts w:ascii="Times New Roman" w:hAnsi="Times New Roman" w:cs="Times New Roman"/>
        </w:rPr>
        <w:t xml:space="preserve"> their preparedness to co-program deliverables in tandem with the Ridge to Reef Program.</w:t>
      </w:r>
    </w:p>
    <w:p w14:paraId="29EFE475" w:rsidR="00133632" w:rsidRPr="00DC4545" w:rsidRDefault="00133632" w:rsidP="009C3E04">
      <w:pPr>
        <w:pStyle w:val="NoSpacing"/>
        <w:spacing w:line="22" w:lineRule="atLeast"/>
        <w:rPr>
          <w:rFonts w:ascii="Times New Roman" w:hAnsi="Times New Roman" w:cs="Times New Roman"/>
        </w:rPr>
      </w:pPr>
    </w:p>
    <w:p w14:paraId="2FF73719" w:rsidR="00133632" w:rsidRPr="00DC4545" w:rsidRDefault="00133632" w:rsidP="009C3E04">
      <w:pPr>
        <w:pStyle w:val="Heading2"/>
      </w:pPr>
      <w:bookmarkStart w:id="35" w:name="_Toc389820966"/>
      <w:r w:rsidRPr="00DC4545">
        <w:t>2.4. Project Objectives, Outcomes and Outputs and Activities</w:t>
      </w:r>
      <w:bookmarkEnd w:id="35"/>
    </w:p>
    <w:p w14:paraId="0B90966F" w:rsidR="00133632" w:rsidRPr="00DC4545" w:rsidRDefault="00133632" w:rsidP="009C3E04">
      <w:pPr>
        <w:pStyle w:val="NoSpacing"/>
        <w:spacing w:line="22" w:lineRule="atLeast"/>
        <w:rPr>
          <w:rFonts w:ascii="Times New Roman" w:hAnsi="Times New Roman" w:cs="Times New Roman"/>
        </w:rPr>
      </w:pPr>
    </w:p>
    <w:p w14:paraId="2F3CCF6A" w:rsidR="00785CE6" w:rsidRPr="00470CE4"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b/>
        </w:rPr>
      </w:pPr>
      <w:r w:rsidRPr="00470CE4">
        <w:rPr>
          <w:rFonts w:ascii="Times New Roman" w:hAnsi="Times New Roman" w:cs="Times New Roman"/>
        </w:rPr>
        <w:t xml:space="preserve">The project’s </w:t>
      </w:r>
      <w:r w:rsidRPr="00470CE4">
        <w:rPr>
          <w:rFonts w:ascii="Times New Roman" w:hAnsi="Times New Roman" w:cs="Times New Roman"/>
          <w:b/>
          <w:i/>
        </w:rPr>
        <w:t>objective</w:t>
      </w:r>
      <w:r w:rsidRPr="00470CE4">
        <w:rPr>
          <w:rFonts w:ascii="Times New Roman" w:hAnsi="Times New Roman" w:cs="Times New Roman"/>
        </w:rPr>
        <w:t xml:space="preserve"> is to ensure that biodiversity and ecosystems functions within and around marine and t</w:t>
      </w:r>
      <w:r w:rsidR="00926A55" w:rsidRPr="00470CE4">
        <w:rPr>
          <w:rFonts w:ascii="Times New Roman" w:hAnsi="Times New Roman" w:cs="Times New Roman"/>
        </w:rPr>
        <w:t>errestrial PAs</w:t>
      </w:r>
      <w:r w:rsidRPr="00470CE4">
        <w:rPr>
          <w:rFonts w:ascii="Times New Roman" w:hAnsi="Times New Roman" w:cs="Times New Roman"/>
        </w:rPr>
        <w:t xml:space="preserve"> in Grenada are better protected from threats through the adoption of an integrated “Ridge to Reef” approach that increases PA management effectiveness and applies targeted sustainable land (and coastal sea) management practices, while ensuring ecosystems resilience to climate change.</w:t>
      </w:r>
      <w:r w:rsidR="00785CE6" w:rsidRPr="00470CE4">
        <w:rPr>
          <w:rFonts w:ascii="Times New Roman" w:hAnsi="Times New Roman" w:cs="Times New Roman"/>
          <w:b/>
        </w:rPr>
        <w:t xml:space="preserve"> </w:t>
      </w:r>
      <w:r w:rsidR="00785CE6" w:rsidRPr="00470CE4">
        <w:rPr>
          <w:rFonts w:ascii="Times New Roman" w:hAnsi="Times New Roman" w:cs="Times New Roman"/>
        </w:rPr>
        <w:t xml:space="preserve">The project area includes the whole island territory of Grenada (344 sq.km. of landscape) sitting on a volcanic-coralline island shelf raised from the depths of the Atlantic Ocean to the East and the Caribbean Sea to the West. The island is divided into small districts called parishes that include St. George, St. Andrew, St. Patrick, St. John, St. David, St. Mark and Carriacou/ Petite Martinique. </w:t>
      </w:r>
      <w:r w:rsidR="0096609D">
        <w:rPr>
          <w:rFonts w:ascii="Times New Roman" w:hAnsi="Times New Roman" w:cs="Times New Roman"/>
        </w:rPr>
        <w:t>It is important to note, however, that t</w:t>
      </w:r>
      <w:r w:rsidR="00785CE6" w:rsidRPr="00470CE4">
        <w:rPr>
          <w:rFonts w:ascii="Times New Roman" w:hAnsi="Times New Roman" w:cs="Times New Roman"/>
        </w:rPr>
        <w:t xml:space="preserve">here is no local Government in parishes. The Pilot project area </w:t>
      </w:r>
      <w:r w:rsidR="0096609D">
        <w:rPr>
          <w:rFonts w:ascii="Times New Roman" w:hAnsi="Times New Roman" w:cs="Times New Roman"/>
        </w:rPr>
        <w:t xml:space="preserve">in Outcome 2 </w:t>
      </w:r>
      <w:r w:rsidR="00785CE6" w:rsidRPr="00470CE4">
        <w:rPr>
          <w:rFonts w:ascii="Times New Roman" w:hAnsi="Times New Roman" w:cs="Times New Roman"/>
        </w:rPr>
        <w:t>includes a land space of about 1547 ha. within the Annandale/Grenville Vale/Beausejour watershed where special attention will be given for demonstrating Ridge to Reef natural resource management.</w:t>
      </w:r>
      <w:r w:rsidR="00470CE4">
        <w:rPr>
          <w:rFonts w:ascii="Times New Roman" w:hAnsi="Times New Roman" w:cs="Times New Roman"/>
        </w:rPr>
        <w:t>.</w:t>
      </w:r>
      <w:r w:rsidR="00785CE6" w:rsidRPr="00470CE4">
        <w:rPr>
          <w:rFonts w:ascii="Times New Roman" w:hAnsi="Times New Roman" w:cs="Times New Roman"/>
          <w:b/>
        </w:rPr>
        <w:tab/>
      </w:r>
    </w:p>
    <w:p w14:paraId="586F1A78" w:rsidR="00133632" w:rsidRPr="00DC4545" w:rsidRDefault="007919A9" w:rsidP="009C3E04">
      <w:pPr>
        <w:pStyle w:val="NoSpacing"/>
        <w:spacing w:line="264" w:lineRule="auto"/>
        <w:rPr>
          <w:rFonts w:ascii="Times New Roman" w:hAnsi="Times New Roman" w:cs="Times New Roman"/>
          <w:b/>
        </w:rPr>
      </w:pPr>
      <w:r>
        <w:rPr>
          <w:rFonts w:ascii="Times New Roman" w:hAnsi="Times New Roman" w:cs="Times New Roman"/>
          <w:b/>
        </w:rPr>
        <w:t>Outcome</w:t>
      </w:r>
      <w:r w:rsidR="00926A55">
        <w:rPr>
          <w:rFonts w:ascii="Times New Roman" w:hAnsi="Times New Roman" w:cs="Times New Roman"/>
          <w:b/>
        </w:rPr>
        <w:t xml:space="preserve"> </w:t>
      </w:r>
      <w:r w:rsidR="00133632" w:rsidRPr="00DC4545">
        <w:rPr>
          <w:rFonts w:ascii="Times New Roman" w:hAnsi="Times New Roman" w:cs="Times New Roman"/>
          <w:b/>
        </w:rPr>
        <w:t>1</w:t>
      </w:r>
      <w:r w:rsidR="00926A55">
        <w:rPr>
          <w:rFonts w:ascii="Times New Roman" w:hAnsi="Times New Roman" w:cs="Times New Roman"/>
          <w:b/>
        </w:rPr>
        <w:t>.</w:t>
      </w:r>
      <w:r w:rsidR="00133632" w:rsidRPr="00DC4545">
        <w:rPr>
          <w:rFonts w:ascii="Times New Roman" w:hAnsi="Times New Roman" w:cs="Times New Roman"/>
          <w:b/>
        </w:rPr>
        <w:t xml:space="preserve"> Establishment and effective management of new and existing Protected Areas: </w:t>
      </w:r>
    </w:p>
    <w:p w14:paraId="140A5A8E" w:rsidR="00926A5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This </w:t>
      </w:r>
      <w:r w:rsidR="00926A55">
        <w:rPr>
          <w:rFonts w:ascii="Times New Roman" w:hAnsi="Times New Roman" w:cs="Times New Roman"/>
        </w:rPr>
        <w:t>Outcome</w:t>
      </w:r>
      <w:r w:rsidRPr="00DC4545">
        <w:rPr>
          <w:rFonts w:ascii="Times New Roman" w:hAnsi="Times New Roman" w:cs="Times New Roman"/>
        </w:rPr>
        <w:t xml:space="preserve"> is designed to support </w:t>
      </w:r>
      <w:r w:rsidR="00926A55">
        <w:rPr>
          <w:rFonts w:ascii="Times New Roman" w:hAnsi="Times New Roman" w:cs="Times New Roman"/>
        </w:rPr>
        <w:t xml:space="preserve">the </w:t>
      </w:r>
      <w:r w:rsidRPr="00DC4545">
        <w:rPr>
          <w:rFonts w:ascii="Times New Roman" w:hAnsi="Times New Roman" w:cs="Times New Roman"/>
        </w:rPr>
        <w:t xml:space="preserve">implementation of key elements of the </w:t>
      </w:r>
      <w:r w:rsidRPr="00E66050">
        <w:rPr>
          <w:rFonts w:ascii="Times New Roman" w:hAnsi="Times New Roman" w:cs="Times New Roman"/>
          <w:i/>
        </w:rPr>
        <w:t xml:space="preserve">Grenada System </w:t>
      </w:r>
      <w:r w:rsidRPr="0096609D">
        <w:rPr>
          <w:rFonts w:ascii="Times New Roman" w:hAnsi="Times New Roman" w:cs="Times New Roman"/>
          <w:i/>
        </w:rPr>
        <w:t>Plan for Parks</w:t>
      </w:r>
      <w:r w:rsidRPr="00E66050">
        <w:rPr>
          <w:rFonts w:ascii="Times New Roman" w:hAnsi="Times New Roman" w:cs="Times New Roman"/>
          <w:i/>
        </w:rPr>
        <w:t xml:space="preserve"> and Protected Areas (2011)</w:t>
      </w:r>
      <w:r w:rsidRPr="00DC4545">
        <w:rPr>
          <w:rFonts w:ascii="Times New Roman" w:hAnsi="Times New Roman" w:cs="Times New Roman"/>
        </w:rPr>
        <w:t xml:space="preserve"> aimed at establishing new, and i</w:t>
      </w:r>
      <w:r w:rsidR="0096609D">
        <w:rPr>
          <w:rFonts w:ascii="Times New Roman" w:hAnsi="Times New Roman" w:cs="Times New Roman"/>
        </w:rPr>
        <w:t>mproving management of existing,</w:t>
      </w:r>
      <w:r w:rsidRPr="00DC4545">
        <w:rPr>
          <w:rFonts w:ascii="Times New Roman" w:hAnsi="Times New Roman" w:cs="Times New Roman"/>
        </w:rPr>
        <w:t xml:space="preserve"> terrestrial and marine protected areas, and to help Grenada meet its commitments under the </w:t>
      </w:r>
      <w:r w:rsidR="00470CE4">
        <w:rPr>
          <w:rFonts w:ascii="Times New Roman" w:hAnsi="Times New Roman" w:cs="Times New Roman"/>
        </w:rPr>
        <w:t>Caribbean Challenge to protect 25%</w:t>
      </w:r>
      <w:r w:rsidRPr="00DC4545">
        <w:rPr>
          <w:rFonts w:ascii="Times New Roman" w:hAnsi="Times New Roman" w:cs="Times New Roman"/>
        </w:rPr>
        <w:t xml:space="preserve"> of its near shore habitat and 25% of its terrestrial habitat by the year 2020. The project is focused on sites that will enhance the representation of key ecosystems, based on a 2006 gap analysis study</w:t>
      </w:r>
      <w:r w:rsidR="00470CE4">
        <w:rPr>
          <w:rStyle w:val="FootnoteReference"/>
          <w:rFonts w:ascii="Times New Roman" w:hAnsi="Times New Roman" w:cs="Times New Roman"/>
        </w:rPr>
        <w:footnoteReference w:id="15"/>
      </w:r>
      <w:r w:rsidRPr="00DC4545">
        <w:rPr>
          <w:rFonts w:ascii="Times New Roman" w:hAnsi="Times New Roman" w:cs="Times New Roman"/>
        </w:rPr>
        <w:t xml:space="preserve"> conducted on representative marine and terrestrial ecosystems and specified wildlife habitats, which identified the degree of representation of representative habitats within the existing and proposed protected areas and brought a structured and scientific conservation approach to the selection process (see Table </w:t>
      </w:r>
      <w:r w:rsidR="00904B28">
        <w:rPr>
          <w:rFonts w:ascii="Times New Roman" w:hAnsi="Times New Roman" w:cs="Times New Roman"/>
        </w:rPr>
        <w:t>4</w:t>
      </w:r>
      <w:r w:rsidRPr="00DC4545">
        <w:rPr>
          <w:rFonts w:ascii="Times New Roman" w:hAnsi="Times New Roman" w:cs="Times New Roman"/>
        </w:rPr>
        <w:t xml:space="preserve">).  </w:t>
      </w:r>
    </w:p>
    <w:p w14:paraId="2636E650" w:rsidR="00D56856" w:rsidRDefault="00D56856" w:rsidP="0057151B">
      <w:pPr>
        <w:jc w:val="center"/>
        <w:rPr>
          <w:rFonts w:ascii="Times New Roman" w:hAnsi="Times New Roman" w:cs="Times New Roman"/>
          <w:b/>
        </w:rPr>
      </w:pPr>
      <w:r w:rsidRPr="00521548">
        <w:rPr>
          <w:rFonts w:ascii="Times New Roman" w:hAnsi="Times New Roman" w:cs="Times New Roman"/>
          <w:b/>
        </w:rPr>
        <w:t xml:space="preserve">Table </w:t>
      </w:r>
      <w:r w:rsidR="00904B28">
        <w:rPr>
          <w:rFonts w:ascii="Times New Roman" w:hAnsi="Times New Roman" w:cs="Times New Roman"/>
          <w:b/>
        </w:rPr>
        <w:t>4</w:t>
      </w:r>
      <w:r>
        <w:rPr>
          <w:rFonts w:ascii="Times New Roman" w:hAnsi="Times New Roman" w:cs="Times New Roman"/>
          <w:b/>
        </w:rPr>
        <w:t>.</w:t>
      </w:r>
      <w:r w:rsidRPr="00521548">
        <w:rPr>
          <w:rFonts w:ascii="Times New Roman" w:hAnsi="Times New Roman" w:cs="Times New Roman"/>
          <w:b/>
        </w:rPr>
        <w:t xml:space="preserve">   Existing and proposed representations of terrestrial and marine ecosystems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1980"/>
        <w:gridCol w:w="1980"/>
      </w:tblGrid>
      <w:tr w14:paraId="4AE4B202" w:rsidR="00B857C7" w:rsidRPr="00B857C7" w:rsidTr="006D7FB2">
        <w:trPr>
          <w:jc w:val="center"/>
        </w:trPr>
        <w:tc>
          <w:tcPr>
            <w:tcW w:w="2952" w:type="dxa"/>
            <w:shd w:val="clear" w:color="auto" w:fill="B3B3B3"/>
          </w:tcPr>
          <w:p w14:paraId="35D54706" w:rsidR="00B857C7" w:rsidRPr="00B857C7" w:rsidRDefault="00B857C7" w:rsidP="00B857C7">
            <w:pPr>
              <w:spacing w:after="0" w:line="240" w:lineRule="auto"/>
              <w:rPr>
                <w:rFonts w:ascii="Times New Roman" w:eastAsia="Times New Roman" w:hAnsi="Times New Roman" w:cs="Times New Roman"/>
                <w:sz w:val="20"/>
                <w:szCs w:val="20"/>
              </w:rPr>
            </w:pPr>
          </w:p>
        </w:tc>
        <w:tc>
          <w:tcPr>
            <w:tcW w:w="1980" w:type="dxa"/>
            <w:shd w:val="clear" w:color="auto" w:fill="B3B3B3"/>
          </w:tcPr>
          <w:p w14:paraId="46CCF264"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Existing %</w:t>
            </w:r>
          </w:p>
          <w:p w14:paraId="20036F58"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Representation</w:t>
            </w:r>
          </w:p>
        </w:tc>
        <w:tc>
          <w:tcPr>
            <w:tcW w:w="1980" w:type="dxa"/>
            <w:shd w:val="clear" w:color="auto" w:fill="B3B3B3"/>
          </w:tcPr>
          <w:p w14:paraId="74123974"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Proposed %</w:t>
            </w:r>
          </w:p>
          <w:p w14:paraId="6ABAB8F0"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Representation*</w:t>
            </w:r>
          </w:p>
        </w:tc>
      </w:tr>
      <w:tr w14:paraId="0A30F2D9" w:rsidR="00B857C7" w:rsidRPr="00B857C7" w:rsidTr="006D7FB2">
        <w:trPr>
          <w:jc w:val="center"/>
        </w:trPr>
        <w:tc>
          <w:tcPr>
            <w:tcW w:w="6912" w:type="dxa"/>
            <w:gridSpan w:val="3"/>
            <w:shd w:val="clear" w:color="auto" w:fill="D9D9D9"/>
          </w:tcPr>
          <w:p w14:paraId="40F3074B"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Terrestrial Environments</w:t>
            </w:r>
          </w:p>
        </w:tc>
      </w:tr>
      <w:tr w14:paraId="2CB4B617" w:rsidR="00B857C7" w:rsidRPr="00B857C7" w:rsidTr="006D7FB2">
        <w:trPr>
          <w:jc w:val="center"/>
        </w:trPr>
        <w:tc>
          <w:tcPr>
            <w:tcW w:w="2952" w:type="dxa"/>
          </w:tcPr>
          <w:p w14:paraId="189A1D26"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Transitional Cloud Forest</w:t>
            </w:r>
          </w:p>
        </w:tc>
        <w:tc>
          <w:tcPr>
            <w:tcW w:w="1980" w:type="dxa"/>
          </w:tcPr>
          <w:p w14:paraId="6141140D"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66</w:t>
            </w:r>
          </w:p>
        </w:tc>
        <w:tc>
          <w:tcPr>
            <w:tcW w:w="1980" w:type="dxa"/>
          </w:tcPr>
          <w:p w14:paraId="4B2BD228"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100</w:t>
            </w:r>
          </w:p>
        </w:tc>
      </w:tr>
      <w:tr w14:paraId="153C273E" w:rsidR="00B857C7" w:rsidRPr="00B857C7" w:rsidTr="006D7FB2">
        <w:trPr>
          <w:jc w:val="center"/>
        </w:trPr>
        <w:tc>
          <w:tcPr>
            <w:tcW w:w="2952" w:type="dxa"/>
          </w:tcPr>
          <w:p w14:paraId="1F7DF8BC"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Cloud Forest</w:t>
            </w:r>
          </w:p>
        </w:tc>
        <w:tc>
          <w:tcPr>
            <w:tcW w:w="1980" w:type="dxa"/>
          </w:tcPr>
          <w:p w14:paraId="3DF7ACBE"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27</w:t>
            </w:r>
          </w:p>
        </w:tc>
        <w:tc>
          <w:tcPr>
            <w:tcW w:w="1980" w:type="dxa"/>
          </w:tcPr>
          <w:p w14:paraId="5CBA5D82"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100</w:t>
            </w:r>
          </w:p>
        </w:tc>
      </w:tr>
      <w:tr w14:paraId="22F89149" w:rsidR="00B857C7" w:rsidRPr="00B857C7" w:rsidTr="006D7FB2">
        <w:trPr>
          <w:jc w:val="center"/>
        </w:trPr>
        <w:tc>
          <w:tcPr>
            <w:tcW w:w="2952" w:type="dxa"/>
          </w:tcPr>
          <w:p w14:paraId="3DF9D229"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Evergreen Forest</w:t>
            </w:r>
          </w:p>
        </w:tc>
        <w:tc>
          <w:tcPr>
            <w:tcW w:w="1980" w:type="dxa"/>
          </w:tcPr>
          <w:p w14:paraId="1CE0DED7"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25</w:t>
            </w:r>
          </w:p>
        </w:tc>
        <w:tc>
          <w:tcPr>
            <w:tcW w:w="1980" w:type="dxa"/>
          </w:tcPr>
          <w:p w14:paraId="550FFF1D"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49</w:t>
            </w:r>
          </w:p>
        </w:tc>
      </w:tr>
      <w:tr w14:paraId="33B9E453" w:rsidR="00B857C7" w:rsidRPr="00B857C7" w:rsidTr="006D7FB2">
        <w:trPr>
          <w:jc w:val="center"/>
        </w:trPr>
        <w:tc>
          <w:tcPr>
            <w:tcW w:w="2952" w:type="dxa"/>
          </w:tcPr>
          <w:p w14:paraId="7CC374CC"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Emergent Wetlands</w:t>
            </w:r>
          </w:p>
        </w:tc>
        <w:tc>
          <w:tcPr>
            <w:tcW w:w="1980" w:type="dxa"/>
          </w:tcPr>
          <w:p w14:paraId="334CF5B1"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22</w:t>
            </w:r>
          </w:p>
        </w:tc>
        <w:tc>
          <w:tcPr>
            <w:tcW w:w="1980" w:type="dxa"/>
          </w:tcPr>
          <w:p w14:paraId="2B8E72A7"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48</w:t>
            </w:r>
          </w:p>
        </w:tc>
      </w:tr>
      <w:tr w14:paraId="30A21E1D" w:rsidR="00B857C7" w:rsidRPr="00B857C7" w:rsidTr="006D7FB2">
        <w:trPr>
          <w:jc w:val="center"/>
        </w:trPr>
        <w:tc>
          <w:tcPr>
            <w:tcW w:w="2952" w:type="dxa"/>
          </w:tcPr>
          <w:p w14:paraId="13757C47" w:rsidR="00B857C7" w:rsidRPr="00B857C7" w:rsidRDefault="00B857C7" w:rsidP="00B857C7">
            <w:pPr>
              <w:spacing w:after="0" w:line="240" w:lineRule="auto"/>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Grenada dove habitat</w:t>
            </w:r>
          </w:p>
        </w:tc>
        <w:tc>
          <w:tcPr>
            <w:tcW w:w="1980" w:type="dxa"/>
          </w:tcPr>
          <w:p w14:paraId="5D162B48"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11</w:t>
            </w:r>
          </w:p>
        </w:tc>
        <w:tc>
          <w:tcPr>
            <w:tcW w:w="1980" w:type="dxa"/>
          </w:tcPr>
          <w:p w14:paraId="65EAB93E"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71</w:t>
            </w:r>
          </w:p>
        </w:tc>
      </w:tr>
      <w:tr w14:paraId="0789EB80" w:rsidR="00B857C7" w:rsidRPr="00B857C7" w:rsidTr="006D7FB2">
        <w:trPr>
          <w:jc w:val="center"/>
        </w:trPr>
        <w:tc>
          <w:tcPr>
            <w:tcW w:w="2952" w:type="dxa"/>
          </w:tcPr>
          <w:p w14:paraId="79E7066E" w:rsidR="00B857C7" w:rsidRPr="00B857C7" w:rsidRDefault="00B857C7" w:rsidP="00B857C7">
            <w:pPr>
              <w:spacing w:after="0" w:line="240" w:lineRule="auto"/>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Dry Deciduous Forest</w:t>
            </w:r>
          </w:p>
        </w:tc>
        <w:tc>
          <w:tcPr>
            <w:tcW w:w="1980" w:type="dxa"/>
          </w:tcPr>
          <w:p w14:paraId="2526ABE4"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1</w:t>
            </w:r>
          </w:p>
        </w:tc>
        <w:tc>
          <w:tcPr>
            <w:tcW w:w="1980" w:type="dxa"/>
          </w:tcPr>
          <w:p w14:paraId="4035990A"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27</w:t>
            </w:r>
          </w:p>
        </w:tc>
      </w:tr>
      <w:tr w14:paraId="2DF29785" w:rsidR="00B857C7" w:rsidRPr="00B857C7" w:rsidTr="006D7FB2">
        <w:trPr>
          <w:jc w:val="center"/>
        </w:trPr>
        <w:tc>
          <w:tcPr>
            <w:tcW w:w="2952" w:type="dxa"/>
          </w:tcPr>
          <w:p w14:paraId="00CAC7DB" w:rsidR="00B857C7" w:rsidRPr="00B857C7" w:rsidRDefault="00B857C7" w:rsidP="00B857C7">
            <w:pPr>
              <w:spacing w:after="0" w:line="240" w:lineRule="auto"/>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Semi-deciduous Forest</w:t>
            </w:r>
          </w:p>
        </w:tc>
        <w:tc>
          <w:tcPr>
            <w:tcW w:w="1980" w:type="dxa"/>
          </w:tcPr>
          <w:p w14:paraId="1BC8C4D5"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2</w:t>
            </w:r>
          </w:p>
        </w:tc>
        <w:tc>
          <w:tcPr>
            <w:tcW w:w="1980" w:type="dxa"/>
          </w:tcPr>
          <w:p w14:paraId="33A5632F"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15</w:t>
            </w:r>
          </w:p>
        </w:tc>
      </w:tr>
      <w:tr w14:paraId="1579281E" w:rsidR="00B857C7" w:rsidRPr="00B857C7" w:rsidTr="006D7FB2">
        <w:trPr>
          <w:jc w:val="center"/>
        </w:trPr>
        <w:tc>
          <w:tcPr>
            <w:tcW w:w="2952" w:type="dxa"/>
          </w:tcPr>
          <w:p w14:paraId="160E9736" w:rsidR="00B857C7" w:rsidRPr="00B857C7" w:rsidRDefault="00B857C7" w:rsidP="00B857C7">
            <w:pPr>
              <w:spacing w:after="0" w:line="240" w:lineRule="auto"/>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Drought Deciduous Forest</w:t>
            </w:r>
          </w:p>
        </w:tc>
        <w:tc>
          <w:tcPr>
            <w:tcW w:w="1980" w:type="dxa"/>
          </w:tcPr>
          <w:p w14:paraId="1BDAE045"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1</w:t>
            </w:r>
          </w:p>
        </w:tc>
        <w:tc>
          <w:tcPr>
            <w:tcW w:w="1980" w:type="dxa"/>
          </w:tcPr>
          <w:p w14:paraId="53436783" w:rsidR="00B857C7" w:rsidRPr="00B857C7" w:rsidRDefault="00B857C7" w:rsidP="00B857C7">
            <w:pPr>
              <w:spacing w:after="0" w:line="240" w:lineRule="auto"/>
              <w:jc w:val="center"/>
              <w:rPr>
                <w:rFonts w:ascii="Times New Roman" w:eastAsia="Times New Roman" w:hAnsi="Times New Roman" w:cs="Times New Roman"/>
                <w:i/>
                <w:sz w:val="20"/>
                <w:szCs w:val="20"/>
              </w:rPr>
            </w:pPr>
            <w:r w:rsidRPr="00B857C7">
              <w:rPr>
                <w:rFonts w:ascii="Times New Roman" w:hAnsi="Times New Roman" w:eastAsia="Times New Roman" w:cs="Times New Roman"/>
                <w:i/>
                <w:sz w:val="20"/>
                <w:szCs w:val="20"/>
              </w:rPr>
              <w:t>19</w:t>
            </w:r>
          </w:p>
        </w:tc>
      </w:tr>
      <w:tr w14:paraId="1BD94399" w:rsidR="00B857C7" w:rsidRPr="00B857C7" w:rsidTr="006D7FB2">
        <w:trPr>
          <w:jc w:val="center"/>
        </w:trPr>
        <w:tc>
          <w:tcPr>
            <w:tcW w:w="2952" w:type="dxa"/>
          </w:tcPr>
          <w:p w14:paraId="24EC2A14"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Mixed Wood agriculture</w:t>
            </w:r>
          </w:p>
        </w:tc>
        <w:tc>
          <w:tcPr>
            <w:tcW w:w="1980" w:type="dxa"/>
          </w:tcPr>
          <w:p w14:paraId="4936CF3B"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w:t>
            </w:r>
          </w:p>
        </w:tc>
        <w:tc>
          <w:tcPr>
            <w:tcW w:w="1980" w:type="dxa"/>
          </w:tcPr>
          <w:p w14:paraId="7D495D61"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10</w:t>
            </w:r>
          </w:p>
        </w:tc>
      </w:tr>
      <w:tr w14:paraId="6526CC97" w:rsidR="00B857C7" w:rsidRPr="00B857C7" w:rsidTr="006D7FB2">
        <w:trPr>
          <w:jc w:val="center"/>
        </w:trPr>
        <w:tc>
          <w:tcPr>
            <w:tcW w:w="2952" w:type="dxa"/>
          </w:tcPr>
          <w:p w14:paraId="78F5D525"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Streams</w:t>
            </w:r>
          </w:p>
        </w:tc>
        <w:tc>
          <w:tcPr>
            <w:tcW w:w="1980" w:type="dxa"/>
          </w:tcPr>
          <w:p w14:paraId="53A8C7CB"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w:t>
            </w:r>
          </w:p>
        </w:tc>
        <w:tc>
          <w:tcPr>
            <w:tcW w:w="1980" w:type="dxa"/>
          </w:tcPr>
          <w:p w14:paraId="4B07FC81"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17</w:t>
            </w:r>
          </w:p>
        </w:tc>
      </w:tr>
      <w:tr w14:paraId="6BF837B6" w:rsidR="00B857C7" w:rsidRPr="00B857C7" w:rsidTr="006D7FB2">
        <w:trPr>
          <w:jc w:val="center"/>
        </w:trPr>
        <w:tc>
          <w:tcPr>
            <w:tcW w:w="2952" w:type="dxa"/>
          </w:tcPr>
          <w:p w14:paraId="533CD996"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Rivers</w:t>
            </w:r>
          </w:p>
        </w:tc>
        <w:tc>
          <w:tcPr>
            <w:tcW w:w="1980" w:type="dxa"/>
          </w:tcPr>
          <w:p w14:paraId="68980525"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w:t>
            </w:r>
          </w:p>
        </w:tc>
        <w:tc>
          <w:tcPr>
            <w:tcW w:w="1980" w:type="dxa"/>
          </w:tcPr>
          <w:p w14:paraId="7142FD40"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w:t>
            </w:r>
          </w:p>
        </w:tc>
      </w:tr>
      <w:tr w14:paraId="3B8E3BA1" w:rsidR="00B857C7" w:rsidRPr="00B857C7" w:rsidTr="006D7FB2">
        <w:trPr>
          <w:jc w:val="center"/>
        </w:trPr>
        <w:tc>
          <w:tcPr>
            <w:tcW w:w="2952" w:type="dxa"/>
          </w:tcPr>
          <w:p w14:paraId="3EFA5B70"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Fresh Water bodies</w:t>
            </w:r>
          </w:p>
        </w:tc>
        <w:tc>
          <w:tcPr>
            <w:tcW w:w="1980" w:type="dxa"/>
          </w:tcPr>
          <w:p w14:paraId="727D01FC"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w:t>
            </w:r>
          </w:p>
        </w:tc>
        <w:tc>
          <w:tcPr>
            <w:tcW w:w="1980" w:type="dxa"/>
          </w:tcPr>
          <w:p w14:paraId="4E213D35"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74</w:t>
            </w:r>
          </w:p>
        </w:tc>
      </w:tr>
      <w:tr w14:paraId="02885155" w:rsidR="00B857C7" w:rsidRPr="00B857C7" w:rsidTr="006D7FB2">
        <w:trPr>
          <w:jc w:val="center"/>
        </w:trPr>
        <w:tc>
          <w:tcPr>
            <w:tcW w:w="6912" w:type="dxa"/>
            <w:gridSpan w:val="3"/>
            <w:shd w:val="clear" w:color="auto" w:fill="D9D9D9"/>
          </w:tcPr>
          <w:p w14:paraId="1B3E7FBD" w:rsidR="00B857C7" w:rsidRPr="00B857C7" w:rsidRDefault="00B857C7" w:rsidP="00B857C7">
            <w:pPr>
              <w:spacing w:after="0" w:line="240" w:lineRule="auto"/>
              <w:jc w:val="center"/>
              <w:rPr>
                <w:rFonts w:ascii="Times New Roman" w:eastAsia="Times New Roman" w:hAnsi="Times New Roman" w:cs="Times New Roman"/>
                <w:b/>
                <w:sz w:val="20"/>
                <w:szCs w:val="20"/>
              </w:rPr>
            </w:pPr>
            <w:r w:rsidRPr="00B857C7">
              <w:rPr>
                <w:rFonts w:ascii="Times New Roman" w:hAnsi="Times New Roman" w:eastAsia="Times New Roman" w:cs="Times New Roman"/>
                <w:b/>
                <w:sz w:val="20"/>
                <w:szCs w:val="20"/>
              </w:rPr>
              <w:t>Marine Environments</w:t>
            </w:r>
          </w:p>
        </w:tc>
      </w:tr>
      <w:tr w14:paraId="6F61513A" w:rsidR="00B857C7" w:rsidRPr="00B857C7" w:rsidTr="006D7FB2">
        <w:trPr>
          <w:jc w:val="center"/>
        </w:trPr>
        <w:tc>
          <w:tcPr>
            <w:tcW w:w="2952" w:type="dxa"/>
          </w:tcPr>
          <w:p w14:paraId="609CBD2D"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Seagrass</w:t>
            </w:r>
          </w:p>
        </w:tc>
        <w:tc>
          <w:tcPr>
            <w:tcW w:w="1980" w:type="dxa"/>
          </w:tcPr>
          <w:p w14:paraId="0DA48DA8"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10</w:t>
            </w:r>
          </w:p>
        </w:tc>
        <w:tc>
          <w:tcPr>
            <w:tcW w:w="1980" w:type="dxa"/>
          </w:tcPr>
          <w:p w14:paraId="2446399A"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68</w:t>
            </w:r>
          </w:p>
        </w:tc>
      </w:tr>
      <w:tr w14:paraId="39691BCB" w:rsidR="00B857C7" w:rsidRPr="00B857C7" w:rsidTr="006D7FB2">
        <w:trPr>
          <w:jc w:val="center"/>
        </w:trPr>
        <w:tc>
          <w:tcPr>
            <w:tcW w:w="2952" w:type="dxa"/>
          </w:tcPr>
          <w:p w14:paraId="32CDAFA8"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Mangroves</w:t>
            </w:r>
          </w:p>
        </w:tc>
        <w:tc>
          <w:tcPr>
            <w:tcW w:w="1980" w:type="dxa"/>
          </w:tcPr>
          <w:p w14:paraId="73737141"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w:t>
            </w:r>
          </w:p>
        </w:tc>
        <w:tc>
          <w:tcPr>
            <w:tcW w:w="1980" w:type="dxa"/>
          </w:tcPr>
          <w:p w14:paraId="210B7B03"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54</w:t>
            </w:r>
          </w:p>
        </w:tc>
      </w:tr>
      <w:tr w14:paraId="1D393AA3" w:rsidR="00B857C7" w:rsidRPr="00B857C7" w:rsidTr="006D7FB2">
        <w:trPr>
          <w:jc w:val="center"/>
        </w:trPr>
        <w:tc>
          <w:tcPr>
            <w:tcW w:w="2952" w:type="dxa"/>
          </w:tcPr>
          <w:p w14:paraId="14715F63"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Intertidal reef flat</w:t>
            </w:r>
          </w:p>
        </w:tc>
        <w:tc>
          <w:tcPr>
            <w:tcW w:w="1980" w:type="dxa"/>
          </w:tcPr>
          <w:p w14:paraId="03B533E7"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w:t>
            </w:r>
          </w:p>
        </w:tc>
        <w:tc>
          <w:tcPr>
            <w:tcW w:w="1980" w:type="dxa"/>
          </w:tcPr>
          <w:p w14:paraId="0A52498F"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77</w:t>
            </w:r>
          </w:p>
        </w:tc>
      </w:tr>
      <w:tr w14:paraId="47413564" w:rsidR="00B857C7" w:rsidRPr="00B857C7" w:rsidTr="006D7FB2">
        <w:trPr>
          <w:jc w:val="center"/>
        </w:trPr>
        <w:tc>
          <w:tcPr>
            <w:tcW w:w="2952" w:type="dxa"/>
          </w:tcPr>
          <w:p w14:paraId="0CE9FA13"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Leatherback nesting site</w:t>
            </w:r>
          </w:p>
        </w:tc>
        <w:tc>
          <w:tcPr>
            <w:tcW w:w="1980" w:type="dxa"/>
          </w:tcPr>
          <w:p w14:paraId="221EF1E4"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499D7753"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53</w:t>
            </w:r>
          </w:p>
        </w:tc>
      </w:tr>
      <w:tr w14:paraId="3936BB84" w:rsidR="00B857C7" w:rsidRPr="00B857C7" w:rsidTr="006D7FB2">
        <w:trPr>
          <w:jc w:val="center"/>
        </w:trPr>
        <w:tc>
          <w:tcPr>
            <w:tcW w:w="2952" w:type="dxa"/>
          </w:tcPr>
          <w:p w14:paraId="0ECDBA3F"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White sand beach</w:t>
            </w:r>
          </w:p>
        </w:tc>
        <w:tc>
          <w:tcPr>
            <w:tcW w:w="1980" w:type="dxa"/>
          </w:tcPr>
          <w:p w14:paraId="338CA591"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w:t>
            </w:r>
          </w:p>
        </w:tc>
        <w:tc>
          <w:tcPr>
            <w:tcW w:w="1980" w:type="dxa"/>
          </w:tcPr>
          <w:p w14:paraId="3603984F"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41</w:t>
            </w:r>
          </w:p>
        </w:tc>
      </w:tr>
      <w:tr w14:paraId="4667A60F" w:rsidR="00B857C7" w:rsidRPr="00B857C7" w:rsidTr="006D7FB2">
        <w:trPr>
          <w:jc w:val="center"/>
        </w:trPr>
        <w:tc>
          <w:tcPr>
            <w:tcW w:w="2952" w:type="dxa"/>
          </w:tcPr>
          <w:p w14:paraId="37AC48F7"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Rocky shore</w:t>
            </w:r>
          </w:p>
        </w:tc>
        <w:tc>
          <w:tcPr>
            <w:tcW w:w="1980" w:type="dxa"/>
          </w:tcPr>
          <w:p w14:paraId="3FCCB47B"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w:t>
            </w:r>
          </w:p>
        </w:tc>
        <w:tc>
          <w:tcPr>
            <w:tcW w:w="1980" w:type="dxa"/>
          </w:tcPr>
          <w:p w14:paraId="120E2EC7"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43</w:t>
            </w:r>
          </w:p>
        </w:tc>
      </w:tr>
      <w:tr w14:paraId="79F28187" w:rsidR="00B857C7" w:rsidRPr="00B857C7" w:rsidTr="006D7FB2">
        <w:trPr>
          <w:jc w:val="center"/>
        </w:trPr>
        <w:tc>
          <w:tcPr>
            <w:tcW w:w="2952" w:type="dxa"/>
          </w:tcPr>
          <w:p w14:paraId="344D11E9"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Reef flat</w:t>
            </w:r>
          </w:p>
        </w:tc>
        <w:tc>
          <w:tcPr>
            <w:tcW w:w="1980" w:type="dxa"/>
          </w:tcPr>
          <w:p w14:paraId="114F0149"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1</w:t>
            </w:r>
          </w:p>
        </w:tc>
        <w:tc>
          <w:tcPr>
            <w:tcW w:w="1980" w:type="dxa"/>
          </w:tcPr>
          <w:p w14:paraId="33E3AEA3"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33</w:t>
            </w:r>
          </w:p>
        </w:tc>
      </w:tr>
      <w:tr w14:paraId="04A75D69" w:rsidR="00B857C7" w:rsidRPr="00B857C7" w:rsidTr="006D7FB2">
        <w:trPr>
          <w:jc w:val="center"/>
        </w:trPr>
        <w:tc>
          <w:tcPr>
            <w:tcW w:w="2952" w:type="dxa"/>
          </w:tcPr>
          <w:p w14:paraId="6EF83C14"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Hawksbill nesting site</w:t>
            </w:r>
          </w:p>
        </w:tc>
        <w:tc>
          <w:tcPr>
            <w:tcW w:w="1980" w:type="dxa"/>
          </w:tcPr>
          <w:p w14:paraId="0E4DC5DE"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4DA7879F"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53</w:t>
            </w:r>
          </w:p>
        </w:tc>
      </w:tr>
      <w:tr w14:paraId="311D11DA" w:rsidR="00B857C7" w:rsidRPr="00B857C7" w:rsidTr="006D7FB2">
        <w:trPr>
          <w:jc w:val="center"/>
        </w:trPr>
        <w:tc>
          <w:tcPr>
            <w:tcW w:w="2952" w:type="dxa"/>
          </w:tcPr>
          <w:p w14:paraId="7A3AA860"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Shelf structure</w:t>
            </w:r>
          </w:p>
        </w:tc>
        <w:tc>
          <w:tcPr>
            <w:tcW w:w="1980" w:type="dxa"/>
          </w:tcPr>
          <w:p w14:paraId="26AD45FB"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w:t>
            </w:r>
          </w:p>
        </w:tc>
        <w:tc>
          <w:tcPr>
            <w:tcW w:w="1980" w:type="dxa"/>
          </w:tcPr>
          <w:p w14:paraId="3B3E2317"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40</w:t>
            </w:r>
          </w:p>
        </w:tc>
      </w:tr>
      <w:tr w14:paraId="459ED9DB" w:rsidR="00B857C7" w:rsidRPr="00B857C7" w:rsidTr="006D7FB2">
        <w:trPr>
          <w:jc w:val="center"/>
        </w:trPr>
        <w:tc>
          <w:tcPr>
            <w:tcW w:w="2952" w:type="dxa"/>
          </w:tcPr>
          <w:p w14:paraId="779309FE"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Fore reef</w:t>
            </w:r>
          </w:p>
        </w:tc>
        <w:tc>
          <w:tcPr>
            <w:tcW w:w="1980" w:type="dxa"/>
          </w:tcPr>
          <w:p w14:paraId="6B830E48"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2</w:t>
            </w:r>
          </w:p>
        </w:tc>
        <w:tc>
          <w:tcPr>
            <w:tcW w:w="1980" w:type="dxa"/>
          </w:tcPr>
          <w:p w14:paraId="16691F93"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53</w:t>
            </w:r>
          </w:p>
        </w:tc>
      </w:tr>
      <w:tr w14:paraId="09D5EC20" w:rsidR="00B857C7" w:rsidRPr="00B857C7" w:rsidTr="006D7FB2">
        <w:trPr>
          <w:jc w:val="center"/>
        </w:trPr>
        <w:tc>
          <w:tcPr>
            <w:tcW w:w="2952" w:type="dxa"/>
          </w:tcPr>
          <w:p w14:paraId="441B5194"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Black sand beach</w:t>
            </w:r>
          </w:p>
        </w:tc>
        <w:tc>
          <w:tcPr>
            <w:tcW w:w="1980" w:type="dxa"/>
          </w:tcPr>
          <w:p w14:paraId="5BBC9A82"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3F376868"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68</w:t>
            </w:r>
          </w:p>
        </w:tc>
      </w:tr>
      <w:tr w14:paraId="4752C89A" w:rsidR="00B857C7" w:rsidRPr="00B857C7" w:rsidTr="006D7FB2">
        <w:trPr>
          <w:jc w:val="center"/>
        </w:trPr>
        <w:tc>
          <w:tcPr>
            <w:tcW w:w="2952" w:type="dxa"/>
          </w:tcPr>
          <w:p w14:paraId="61A5EE27"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Lagoon habitat</w:t>
            </w:r>
          </w:p>
        </w:tc>
        <w:tc>
          <w:tcPr>
            <w:tcW w:w="1980" w:type="dxa"/>
          </w:tcPr>
          <w:p w14:paraId="0BFBA432"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5BAE0B12"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38</w:t>
            </w:r>
          </w:p>
        </w:tc>
      </w:tr>
      <w:tr w14:paraId="4F240B5C" w:rsidR="00B857C7" w:rsidRPr="00B857C7" w:rsidTr="006D7FB2">
        <w:trPr>
          <w:jc w:val="center"/>
        </w:trPr>
        <w:tc>
          <w:tcPr>
            <w:tcW w:w="2952" w:type="dxa"/>
          </w:tcPr>
          <w:p w14:paraId="71F0C44D"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Shallow terrace</w:t>
            </w:r>
          </w:p>
        </w:tc>
        <w:tc>
          <w:tcPr>
            <w:tcW w:w="1980" w:type="dxa"/>
          </w:tcPr>
          <w:p w14:paraId="05C39FEC"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63AF47BD"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35</w:t>
            </w:r>
          </w:p>
        </w:tc>
      </w:tr>
      <w:tr w14:paraId="1A9497A4" w:rsidR="00B857C7" w:rsidRPr="00B857C7" w:rsidTr="006D7FB2">
        <w:trPr>
          <w:jc w:val="center"/>
        </w:trPr>
        <w:tc>
          <w:tcPr>
            <w:tcW w:w="2952" w:type="dxa"/>
          </w:tcPr>
          <w:p w14:paraId="4C84B905" w:rsidR="00B857C7" w:rsidRPr="00B857C7" w:rsidRDefault="00B857C7" w:rsidP="00B857C7">
            <w:pPr>
              <w:spacing w:after="0" w:line="240" w:lineRule="auto"/>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Shoal</w:t>
            </w:r>
          </w:p>
        </w:tc>
        <w:tc>
          <w:tcPr>
            <w:tcW w:w="1980" w:type="dxa"/>
          </w:tcPr>
          <w:p w14:paraId="54D6D9AD"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0</w:t>
            </w:r>
          </w:p>
        </w:tc>
        <w:tc>
          <w:tcPr>
            <w:tcW w:w="1980" w:type="dxa"/>
          </w:tcPr>
          <w:p w14:paraId="37B50843" w:rsidR="00B857C7" w:rsidRPr="00B857C7" w:rsidRDefault="00B857C7" w:rsidP="00B857C7">
            <w:pPr>
              <w:spacing w:after="0" w:line="240" w:lineRule="auto"/>
              <w:jc w:val="center"/>
              <w:rPr>
                <w:rFonts w:ascii="Times New Roman" w:eastAsia="Times New Roman" w:hAnsi="Times New Roman" w:cs="Times New Roman"/>
                <w:sz w:val="20"/>
                <w:szCs w:val="20"/>
              </w:rPr>
            </w:pPr>
            <w:r w:rsidRPr="00B857C7">
              <w:rPr>
                <w:rFonts w:ascii="Times New Roman" w:hAnsi="Times New Roman" w:eastAsia="Times New Roman" w:cs="Times New Roman"/>
                <w:sz w:val="20"/>
                <w:szCs w:val="20"/>
              </w:rPr>
              <w:t>36</w:t>
            </w:r>
          </w:p>
        </w:tc>
      </w:tr>
    </w:tbl>
    <w:p w14:paraId="20D008B2" w:rsidR="00D56856" w:rsidRDefault="00D56856" w:rsidP="00904B28">
      <w:pPr>
        <w:pStyle w:val="NoSpacing"/>
        <w:spacing w:line="22" w:lineRule="atLeast"/>
        <w:jc w:val="center"/>
        <w:rPr>
          <w:rFonts w:ascii="Times New Roman" w:hAnsi="Times New Roman" w:cs="Times New Roman"/>
          <w:sz w:val="20"/>
          <w:szCs w:val="20"/>
        </w:rPr>
      </w:pPr>
      <w:r w:rsidRPr="00D56856">
        <w:rPr>
          <w:rFonts w:ascii="Times New Roman" w:hAnsi="Times New Roman" w:cs="Times New Roman"/>
          <w:sz w:val="20"/>
          <w:szCs w:val="20"/>
        </w:rPr>
        <w:t>* Representation targets as stated in Grenada Protected Areas System Plan (Mel Turner, 2009).</w:t>
      </w:r>
    </w:p>
    <w:p w14:paraId="7B965EE0" w:rsidR="00B857C7" w:rsidRPr="00D56856" w:rsidRDefault="00B857C7" w:rsidP="00904B28">
      <w:pPr>
        <w:pStyle w:val="NoSpacing"/>
        <w:spacing w:line="22" w:lineRule="atLeast"/>
        <w:jc w:val="center"/>
        <w:rPr>
          <w:rFonts w:ascii="Times New Roman" w:hAnsi="Times New Roman" w:cs="Times New Roman"/>
          <w:sz w:val="20"/>
          <w:szCs w:val="20"/>
        </w:rPr>
      </w:pPr>
    </w:p>
    <w:p w14:paraId="2A53B812" w:rsidR="00133632" w:rsidRPr="002E3914" w:rsidRDefault="0042567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E3914">
        <w:rPr>
          <w:rFonts w:ascii="Times New Roman" w:hAnsi="Times New Roman" w:cs="Times New Roman"/>
        </w:rPr>
        <w:t xml:space="preserve">Through this Outcome, the project will support the creation of an enabling institutional, legal, regulatory and policy environment for integrating principles of SLM and SFM / REDD+ and climate change adaptation so as to ensure that BD and ecosystems services are managed and conserved within and around existing and new PAs in Grenada. This </w:t>
      </w:r>
      <w:r w:rsidR="007E2758" w:rsidRPr="002E3914">
        <w:rPr>
          <w:rFonts w:ascii="Times New Roman" w:hAnsi="Times New Roman" w:cs="Times New Roman"/>
        </w:rPr>
        <w:t>Outcome</w:t>
      </w:r>
      <w:r w:rsidR="00133632" w:rsidRPr="002E3914">
        <w:rPr>
          <w:rFonts w:ascii="Times New Roman" w:hAnsi="Times New Roman" w:cs="Times New Roman"/>
        </w:rPr>
        <w:t xml:space="preserve"> will allow for </w:t>
      </w:r>
      <w:r w:rsidR="006D1BDE" w:rsidRPr="002E3914">
        <w:rPr>
          <w:rFonts w:ascii="Times New Roman" w:hAnsi="Times New Roman" w:cs="Times New Roman"/>
        </w:rPr>
        <w:t xml:space="preserve">the </w:t>
      </w:r>
      <w:r w:rsidR="00133632" w:rsidRPr="002E3914">
        <w:rPr>
          <w:rFonts w:ascii="Times New Roman" w:hAnsi="Times New Roman" w:cs="Times New Roman"/>
        </w:rPr>
        <w:t xml:space="preserve">enhancement (where capacity already exists) and development (where gaps exist) of a legal planning and institutional (Strategic and operational management) framework for integrating SFM/REDD+ and SLM principles and practices within the national environmental and development policies.  </w:t>
      </w:r>
      <w:r w:rsidR="00115115" w:rsidRPr="002E3914">
        <w:rPr>
          <w:rFonts w:ascii="Times New Roman" w:hAnsi="Times New Roman" w:cs="Times New Roman"/>
        </w:rPr>
        <w:t xml:space="preserve">This refers to an integrated approach to managing forest ecosystems, landscapes and coastal seascapes, adaptation and prevention of LD, </w:t>
      </w:r>
      <w:r w:rsidR="0096609D">
        <w:rPr>
          <w:rFonts w:ascii="Times New Roman" w:hAnsi="Times New Roman" w:cs="Times New Roman"/>
        </w:rPr>
        <w:t>as well as</w:t>
      </w:r>
      <w:r w:rsidR="00115115" w:rsidRPr="002E3914">
        <w:rPr>
          <w:rFonts w:ascii="Times New Roman" w:hAnsi="Times New Roman" w:cs="Times New Roman"/>
        </w:rPr>
        <w:t xml:space="preserve"> the integration of peoples’ livelihoods objectives within the pro</w:t>
      </w:r>
      <w:r w:rsidR="0096609D">
        <w:rPr>
          <w:rFonts w:ascii="Times New Roman" w:hAnsi="Times New Roman" w:cs="Times New Roman"/>
        </w:rPr>
        <w:t>grams for management of BD and e</w:t>
      </w:r>
      <w:r w:rsidR="00115115" w:rsidRPr="002E3914">
        <w:rPr>
          <w:rFonts w:ascii="Times New Roman" w:hAnsi="Times New Roman" w:cs="Times New Roman"/>
        </w:rPr>
        <w:t>cosystems functions.</w:t>
      </w:r>
      <w:r w:rsidR="00133632" w:rsidRPr="002E3914">
        <w:rPr>
          <w:rFonts w:ascii="Times New Roman" w:hAnsi="Times New Roman" w:cs="Times New Roman"/>
        </w:rPr>
        <w:t xml:space="preserve">  </w:t>
      </w:r>
    </w:p>
    <w:p w14:paraId="051C09E2" w:rsidR="002E3914" w:rsidRPr="0042567A" w:rsidRDefault="002E391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E3914">
        <w:rPr>
          <w:rFonts w:ascii="Times New Roman" w:hAnsi="Times New Roman" w:cs="Times New Roman"/>
        </w:rPr>
        <w:t>Ultimately, i</w:t>
      </w:r>
      <w:r w:rsidR="00133632" w:rsidRPr="002E3914">
        <w:rPr>
          <w:rFonts w:ascii="Times New Roman" w:hAnsi="Times New Roman" w:cs="Times New Roman"/>
        </w:rPr>
        <w:t xml:space="preserve">t is expected that </w:t>
      </w:r>
      <w:r w:rsidRPr="002E3914">
        <w:rPr>
          <w:rFonts w:ascii="Times New Roman" w:hAnsi="Times New Roman" w:cs="Times New Roman"/>
        </w:rPr>
        <w:t xml:space="preserve">through this Outcome, </w:t>
      </w:r>
      <w:r w:rsidR="00133632" w:rsidRPr="002E3914">
        <w:rPr>
          <w:rFonts w:ascii="Times New Roman" w:hAnsi="Times New Roman" w:cs="Times New Roman"/>
        </w:rPr>
        <w:t>the existing threats</w:t>
      </w:r>
      <w:r w:rsidR="003625B2" w:rsidRPr="00870DA8">
        <w:rPr>
          <w:rFonts w:ascii="Times New Roman" w:hAnsi="Times New Roman" w:cs="Times New Roman"/>
          <w:vertAlign w:val="superscript"/>
        </w:rPr>
        <w:footnoteReference w:id="16"/>
      </w:r>
      <w:r w:rsidR="00133632" w:rsidRPr="002E3914">
        <w:rPr>
          <w:rFonts w:ascii="Times New Roman" w:hAnsi="Times New Roman" w:cs="Times New Roman"/>
        </w:rPr>
        <w:t xml:space="preserve"> facing PAs such as encroachments and unplanned developments on landscapes, mining and pollution will be reduced over an area </w:t>
      </w:r>
      <w:r w:rsidR="009D6A30" w:rsidRPr="002E3914">
        <w:rPr>
          <w:rFonts w:ascii="Times New Roman" w:hAnsi="Times New Roman" w:cs="Times New Roman"/>
        </w:rPr>
        <w:t>of 16,111 ha. in and around PAs</w:t>
      </w:r>
      <w:r w:rsidRPr="002E3914">
        <w:rPr>
          <w:rFonts w:ascii="Times New Roman" w:hAnsi="Times New Roman" w:cs="Times New Roman"/>
        </w:rPr>
        <w:t xml:space="preserve"> with</w:t>
      </w:r>
      <w:r w:rsidR="00133632" w:rsidRPr="002E3914">
        <w:rPr>
          <w:rFonts w:ascii="Times New Roman" w:hAnsi="Times New Roman" w:cs="Times New Roman"/>
        </w:rPr>
        <w:t xml:space="preserve"> no net loss of forest area.   It is also expected that through avoided deforestation, by legally establishing Mt. St. Catherine as a TPA</w:t>
      </w:r>
      <w:r w:rsidRPr="002E3914">
        <w:rPr>
          <w:rFonts w:ascii="Times New Roman" w:hAnsi="Times New Roman" w:cs="Times New Roman"/>
        </w:rPr>
        <w:t>, a direct C</w:t>
      </w:r>
      <w:r w:rsidR="00133632" w:rsidRPr="002E3914">
        <w:rPr>
          <w:rFonts w:ascii="Times New Roman" w:hAnsi="Times New Roman" w:cs="Times New Roman"/>
        </w:rPr>
        <w:t xml:space="preserve">arbon sequestration </w:t>
      </w:r>
      <w:r w:rsidRPr="002E3914">
        <w:rPr>
          <w:rFonts w:ascii="Times New Roman" w:hAnsi="Times New Roman" w:cs="Times New Roman"/>
        </w:rPr>
        <w:t xml:space="preserve">benefit of </w:t>
      </w:r>
      <w:r w:rsidR="009D6A30" w:rsidRPr="002E3914">
        <w:rPr>
          <w:rFonts w:ascii="Times New Roman" w:hAnsi="Times New Roman" w:cs="Times New Roman"/>
        </w:rPr>
        <w:t xml:space="preserve">81,652 5tC </w:t>
      </w:r>
      <w:r w:rsidRPr="002E3914">
        <w:rPr>
          <w:rFonts w:ascii="Times New Roman" w:hAnsi="Times New Roman" w:cs="Times New Roman"/>
        </w:rPr>
        <w:t>will be achieved</w:t>
      </w:r>
      <w:r w:rsidR="00133632" w:rsidRPr="002E3914">
        <w:rPr>
          <w:rFonts w:ascii="Times New Roman" w:hAnsi="Times New Roman" w:cs="Times New Roman"/>
        </w:rPr>
        <w:t xml:space="preserve">.  Additionally it is estimated that direct carbon benefits from institutional strengthening from avoided fire damage, control of encroachments, </w:t>
      </w:r>
      <w:r w:rsidR="0096609D">
        <w:rPr>
          <w:rFonts w:ascii="Times New Roman" w:hAnsi="Times New Roman" w:cs="Times New Roman"/>
        </w:rPr>
        <w:t xml:space="preserve">and </w:t>
      </w:r>
      <w:r w:rsidR="00133632" w:rsidRPr="002E3914">
        <w:rPr>
          <w:rFonts w:ascii="Times New Roman" w:hAnsi="Times New Roman" w:cs="Times New Roman"/>
        </w:rPr>
        <w:t>slash and burn ag</w:t>
      </w:r>
      <w:r w:rsidR="009D6A30" w:rsidRPr="002E3914">
        <w:rPr>
          <w:rFonts w:ascii="Times New Roman" w:hAnsi="Times New Roman" w:cs="Times New Roman"/>
        </w:rPr>
        <w:t>ricultural practices at all TPA</w:t>
      </w:r>
      <w:r w:rsidR="00133632" w:rsidRPr="002E3914">
        <w:rPr>
          <w:rFonts w:ascii="Times New Roman" w:hAnsi="Times New Roman" w:cs="Times New Roman"/>
        </w:rPr>
        <w:t xml:space="preserve">s should conserve total carbon stock of 322,158.3tC.  It is further expected that there will be no net loss of mangrove, sea grass and coral reef areas within MPAs.  </w:t>
      </w:r>
      <w:r w:rsidRPr="002E3914">
        <w:rPr>
          <w:rFonts w:ascii="Times New Roman" w:hAnsi="Times New Roman" w:cs="Times New Roman"/>
        </w:rPr>
        <w:t>Finally,</w:t>
      </w:r>
      <w:r w:rsidR="00133632" w:rsidRPr="002E3914">
        <w:rPr>
          <w:rFonts w:ascii="Times New Roman" w:hAnsi="Times New Roman" w:cs="Times New Roman"/>
        </w:rPr>
        <w:t xml:space="preserve"> there will be significant net increase in the representation of terrestrial and marine environments within Grenada’s Protected Areas’ system (sourced from Grenada Protected Areas Systems plan 2011).</w:t>
      </w:r>
      <w:r w:rsidRPr="002E3914">
        <w:rPr>
          <w:rFonts w:ascii="Times New Roman" w:hAnsi="Times New Roman" w:cs="Times New Roman"/>
        </w:rPr>
        <w:t xml:space="preserve"> </w:t>
      </w:r>
      <w:r w:rsidRPr="0042567A">
        <w:rPr>
          <w:rFonts w:ascii="Times New Roman" w:hAnsi="Times New Roman" w:cs="Times New Roman"/>
        </w:rPr>
        <w:t xml:space="preserve">The specific outcomes and outputs defined for this project component include the following: </w:t>
      </w:r>
    </w:p>
    <w:p w14:paraId="217EAE5F" w:rsidR="00133632" w:rsidRPr="002E3914" w:rsidRDefault="007919A9" w:rsidP="009C3E04">
      <w:pPr>
        <w:pStyle w:val="NoSpacing"/>
        <w:spacing w:line="22" w:lineRule="atLeast"/>
        <w:rPr>
          <w:rFonts w:ascii="Times New Roman" w:hAnsi="Times New Roman" w:cs="Times New Roman"/>
        </w:rPr>
      </w:pPr>
      <w:r w:rsidRPr="002E3914">
        <w:rPr>
          <w:rFonts w:ascii="Times New Roman" w:hAnsi="Times New Roman" w:cs="Times New Roman"/>
          <w:b/>
          <w:i/>
        </w:rPr>
        <w:t xml:space="preserve">Output </w:t>
      </w:r>
      <w:r w:rsidR="00133632" w:rsidRPr="002E3914">
        <w:rPr>
          <w:rFonts w:ascii="Times New Roman" w:hAnsi="Times New Roman" w:cs="Times New Roman"/>
          <w:b/>
          <w:i/>
        </w:rPr>
        <w:t>1.1. An Institutional Framework for Prot</w:t>
      </w:r>
      <w:r w:rsidR="003625B2" w:rsidRPr="002E3914">
        <w:rPr>
          <w:rFonts w:ascii="Times New Roman" w:hAnsi="Times New Roman" w:cs="Times New Roman"/>
          <w:b/>
          <w:i/>
        </w:rPr>
        <w:t>ected Area System</w:t>
      </w:r>
      <w:r w:rsidR="00521548" w:rsidRPr="002E3914">
        <w:rPr>
          <w:rFonts w:ascii="Times New Roman" w:hAnsi="Times New Roman" w:cs="Times New Roman"/>
          <w:b/>
          <w:i/>
        </w:rPr>
        <w:t xml:space="preserve"> Management </w:t>
      </w:r>
    </w:p>
    <w:p w14:paraId="3F8FC29E" w:rsidR="002E3914" w:rsidRPr="002E3914" w:rsidRDefault="003625B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At the </w:t>
      </w:r>
      <w:r w:rsidRPr="00C16D4B">
        <w:rPr>
          <w:rFonts w:ascii="Times New Roman" w:hAnsi="Times New Roman" w:cs="Times New Roman"/>
          <w:i/>
        </w:rPr>
        <w:t>systemic level</w:t>
      </w:r>
      <w:r w:rsidRPr="00DC4545">
        <w:rPr>
          <w:rFonts w:ascii="Times New Roman" w:hAnsi="Times New Roman" w:cs="Times New Roman"/>
        </w:rPr>
        <w:t>, the project will strengthen the policy framework for PAs by formally establishing bodies to oversee terrestrial and marine protected areas and develop strategic plans for these bodies.  The project will</w:t>
      </w:r>
      <w:r>
        <w:rPr>
          <w:rFonts w:ascii="Times New Roman" w:hAnsi="Times New Roman" w:cs="Times New Roman"/>
        </w:rPr>
        <w:t xml:space="preserve"> also</w:t>
      </w:r>
      <w:r w:rsidRPr="00DC4545">
        <w:rPr>
          <w:rFonts w:ascii="Times New Roman" w:hAnsi="Times New Roman" w:cs="Times New Roman"/>
        </w:rPr>
        <w:t xml:space="preserve"> </w:t>
      </w:r>
      <w:r>
        <w:rPr>
          <w:rFonts w:ascii="Times New Roman" w:hAnsi="Times New Roman" w:cs="Times New Roman"/>
        </w:rPr>
        <w:t>support the finalization of</w:t>
      </w:r>
      <w:r w:rsidRPr="00DC4545">
        <w:rPr>
          <w:rFonts w:ascii="Times New Roman" w:hAnsi="Times New Roman" w:cs="Times New Roman"/>
        </w:rPr>
        <w:t xml:space="preserve"> draft laws and regulations to allow for effective management and enforcement of regulations and penalties to be applied at </w:t>
      </w:r>
      <w:r>
        <w:rPr>
          <w:rFonts w:ascii="Times New Roman" w:hAnsi="Times New Roman" w:cs="Times New Roman"/>
        </w:rPr>
        <w:t xml:space="preserve">all </w:t>
      </w:r>
      <w:r w:rsidRPr="00DC4545">
        <w:rPr>
          <w:rFonts w:ascii="Times New Roman" w:hAnsi="Times New Roman" w:cs="Times New Roman"/>
        </w:rPr>
        <w:t>PA sites, includ</w:t>
      </w:r>
      <w:r>
        <w:rPr>
          <w:rFonts w:ascii="Times New Roman" w:hAnsi="Times New Roman" w:cs="Times New Roman"/>
        </w:rPr>
        <w:t>ing regulations to authorize PA</w:t>
      </w:r>
      <w:r w:rsidRPr="00DC4545">
        <w:rPr>
          <w:rFonts w:ascii="Times New Roman" w:hAnsi="Times New Roman" w:cs="Times New Roman"/>
        </w:rPr>
        <w:t xml:space="preserve"> visitor fee systems </w:t>
      </w:r>
      <w:r>
        <w:rPr>
          <w:rFonts w:ascii="Times New Roman" w:hAnsi="Times New Roman" w:cs="Times New Roman"/>
        </w:rPr>
        <w:t>and to ensure that those fees go</w:t>
      </w:r>
      <w:r w:rsidRPr="00DC4545">
        <w:rPr>
          <w:rFonts w:ascii="Times New Roman" w:hAnsi="Times New Roman" w:cs="Times New Roman"/>
        </w:rPr>
        <w:t xml:space="preserve"> into the National Trust Fund for </w:t>
      </w:r>
      <w:r w:rsidRPr="002E3914">
        <w:rPr>
          <w:rFonts w:ascii="Times New Roman" w:hAnsi="Times New Roman" w:cs="Times New Roman"/>
        </w:rPr>
        <w:t xml:space="preserve">PAs, as well as legal processes for including private lands in the PA system and/or buffer zones, including: 1) options for incorporation and/or acquisition of private land into new PAs; 2) compulsory covenants on identified critical ecosystems; and 3) co-management mechanisms with private land owners. </w:t>
      </w:r>
    </w:p>
    <w:p w14:paraId="1C641D9A" w:rsidR="002E3914" w:rsidRPr="002E3914" w:rsidRDefault="002E391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E3914">
        <w:rPr>
          <w:rFonts w:ascii="Times New Roman" w:hAnsi="Times New Roman" w:cs="Times New Roman"/>
        </w:rPr>
        <w:t xml:space="preserve">This </w:t>
      </w:r>
      <w:r>
        <w:rPr>
          <w:rFonts w:ascii="Times New Roman" w:hAnsi="Times New Roman" w:cs="Times New Roman"/>
        </w:rPr>
        <w:t>Output</w:t>
      </w:r>
      <w:r w:rsidRPr="002E3914">
        <w:rPr>
          <w:rFonts w:ascii="Times New Roman" w:hAnsi="Times New Roman" w:cs="Times New Roman"/>
        </w:rPr>
        <w:t xml:space="preserve"> will support a programmatic approach for the purpose of mending gaps identified in national policy and</w:t>
      </w:r>
      <w:r w:rsidR="00972C49">
        <w:rPr>
          <w:rFonts w:ascii="Times New Roman" w:hAnsi="Times New Roman" w:cs="Times New Roman"/>
        </w:rPr>
        <w:t>,</w:t>
      </w:r>
      <w:r w:rsidRPr="002E3914">
        <w:rPr>
          <w:rFonts w:ascii="Times New Roman" w:hAnsi="Times New Roman" w:cs="Times New Roman"/>
        </w:rPr>
        <w:t xml:space="preserve"> thereby</w:t>
      </w:r>
      <w:r w:rsidR="00972C49">
        <w:rPr>
          <w:rFonts w:ascii="Times New Roman" w:hAnsi="Times New Roman" w:cs="Times New Roman"/>
        </w:rPr>
        <w:t>,</w:t>
      </w:r>
      <w:r w:rsidRPr="002E3914">
        <w:rPr>
          <w:rFonts w:ascii="Times New Roman" w:hAnsi="Times New Roman" w:cs="Times New Roman"/>
        </w:rPr>
        <w:t xml:space="preserve"> support compliance with obligations to UN Conventions and Protocols regarding BD, SLM, SFM/REDD+, LD responses and CC mitigation, and with a focus on both global and local benefits of project activities. </w:t>
      </w:r>
      <w:r>
        <w:rPr>
          <w:rFonts w:ascii="Times New Roman" w:hAnsi="Times New Roman" w:cs="Times New Roman"/>
        </w:rPr>
        <w:t xml:space="preserve">Strategic management will be enhanced for </w:t>
      </w:r>
      <w:r w:rsidRPr="002E3914">
        <w:rPr>
          <w:rFonts w:ascii="Times New Roman" w:hAnsi="Times New Roman" w:cs="Times New Roman"/>
        </w:rPr>
        <w:t xml:space="preserve">a network of PAs with their adjoining landscapes and seascapes by providing a functional policy-based and law-based National Parks Advisory Council for TPAs and </w:t>
      </w:r>
      <w:r w:rsidR="008E1346">
        <w:rPr>
          <w:rFonts w:ascii="Times New Roman" w:hAnsi="Times New Roman" w:cs="Times New Roman"/>
        </w:rPr>
        <w:t xml:space="preserve">strengthening </w:t>
      </w:r>
      <w:r w:rsidR="00831F01">
        <w:rPr>
          <w:rFonts w:ascii="Times New Roman" w:hAnsi="Times New Roman" w:cs="Times New Roman"/>
        </w:rPr>
        <w:t xml:space="preserve">of </w:t>
      </w:r>
      <w:r w:rsidR="008E1346">
        <w:rPr>
          <w:rFonts w:ascii="Times New Roman" w:hAnsi="Times New Roman" w:cs="Times New Roman"/>
        </w:rPr>
        <w:t>the</w:t>
      </w:r>
      <w:r w:rsidRPr="002E3914">
        <w:rPr>
          <w:rFonts w:ascii="Times New Roman" w:hAnsi="Times New Roman" w:cs="Times New Roman"/>
        </w:rPr>
        <w:t xml:space="preserve"> National MPA Committee for Marine Protected Areas; each national body to be constituted by a wide range of relevant stakeholders.</w:t>
      </w:r>
    </w:p>
    <w:p w14:paraId="2E40FE8E" w:rsidR="009D6A30" w:rsidRPr="002E3914" w:rsidRDefault="003625B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E3914">
        <w:rPr>
          <w:rFonts w:ascii="Times New Roman" w:hAnsi="Times New Roman" w:cs="Times New Roman"/>
        </w:rPr>
        <w:t xml:space="preserve"> To strengthen PA system finances, the project will establish a visitor fee system at PAs (building on information from a recent willingness-to-pay survey</w:t>
      </w:r>
      <w:r w:rsidR="00F81685">
        <w:rPr>
          <w:rStyle w:val="FootnoteReference"/>
          <w:rFonts w:ascii="Times New Roman" w:hAnsi="Times New Roman" w:cs="Times New Roman"/>
        </w:rPr>
        <w:footnoteReference w:id="17"/>
      </w:r>
      <w:r w:rsidRPr="002E3914">
        <w:rPr>
          <w:rFonts w:ascii="Times New Roman" w:hAnsi="Times New Roman" w:cs="Times New Roman"/>
        </w:rPr>
        <w:t xml:space="preserve"> for Grenada’s PAs), and will create a PA System Business Plan to plan for long-term revenue and spending.  Capacity building for PA system management will be another priority</w:t>
      </w:r>
      <w:r w:rsidR="00972C49">
        <w:rPr>
          <w:rFonts w:ascii="Times New Roman" w:hAnsi="Times New Roman" w:cs="Times New Roman"/>
        </w:rPr>
        <w:t>.</w:t>
      </w:r>
      <w:r w:rsidRPr="002E3914">
        <w:rPr>
          <w:rFonts w:ascii="Times New Roman" w:hAnsi="Times New Roman" w:cs="Times New Roman"/>
        </w:rPr>
        <w:t xml:space="preserve"> </w:t>
      </w:r>
      <w:r w:rsidR="00972C49">
        <w:rPr>
          <w:rFonts w:ascii="Times New Roman" w:hAnsi="Times New Roman" w:cs="Times New Roman"/>
        </w:rPr>
        <w:t>B</w:t>
      </w:r>
      <w:r w:rsidRPr="002E3914">
        <w:rPr>
          <w:rFonts w:ascii="Times New Roman" w:hAnsi="Times New Roman" w:cs="Times New Roman"/>
        </w:rPr>
        <w:t>uilding on the 2007 capacity assessment and development strategy for Grenada’s PAs carried out by the OPAAL project</w:t>
      </w:r>
      <w:r w:rsidRPr="002E3914">
        <w:rPr>
          <w:rStyle w:val="FootnoteReference"/>
          <w:rFonts w:ascii="Times New Roman" w:hAnsi="Times New Roman" w:cs="Times New Roman"/>
        </w:rPr>
        <w:footnoteReference w:id="18"/>
      </w:r>
      <w:r w:rsidRPr="002E3914">
        <w:rPr>
          <w:rFonts w:ascii="Times New Roman" w:hAnsi="Times New Roman" w:cs="Times New Roman"/>
        </w:rPr>
        <w:t xml:space="preserve">, the project will implement a training program for PA management authorities on revised policies/laws/regulations, integrated management approaches, and sustainable financing.  </w:t>
      </w:r>
    </w:p>
    <w:p w14:paraId="06239985" w:rsidR="00133632" w:rsidRDefault="007919A9" w:rsidP="009C3E04">
      <w:pPr>
        <w:pStyle w:val="NoSpacing"/>
        <w:spacing w:line="22" w:lineRule="atLeast"/>
        <w:rPr>
          <w:rFonts w:ascii="Times New Roman" w:hAnsi="Times New Roman" w:cs="Times New Roman"/>
          <w:b/>
          <w:i/>
        </w:rPr>
      </w:pPr>
      <w:r w:rsidRPr="002E3914">
        <w:rPr>
          <w:rFonts w:ascii="Times New Roman" w:hAnsi="Times New Roman" w:cs="Times New Roman"/>
          <w:b/>
          <w:i/>
        </w:rPr>
        <w:t xml:space="preserve">Output </w:t>
      </w:r>
      <w:r w:rsidR="00133632" w:rsidRPr="002E3914">
        <w:rPr>
          <w:rFonts w:ascii="Times New Roman" w:hAnsi="Times New Roman" w:cs="Times New Roman"/>
          <w:b/>
          <w:i/>
        </w:rPr>
        <w:t>1.2. A Legal and Regulatory Framework for Management of Protected Areas</w:t>
      </w:r>
    </w:p>
    <w:p w14:paraId="360DAC47" w:rsidR="00C54044" w:rsidRPr="002E3914" w:rsidRDefault="00C54044" w:rsidP="009C3E04">
      <w:pPr>
        <w:pStyle w:val="NoSpacing"/>
        <w:spacing w:line="22" w:lineRule="atLeast"/>
        <w:rPr>
          <w:rFonts w:ascii="Times New Roman" w:hAnsi="Times New Roman" w:cs="Times New Roman"/>
          <w:b/>
          <w:i/>
        </w:rPr>
      </w:pPr>
    </w:p>
    <w:p w14:paraId="593537B4" w:rsidR="00D56856" w:rsidRPr="002E3914" w:rsidRDefault="00D5685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E3914">
        <w:rPr>
          <w:rFonts w:ascii="Times New Roman" w:hAnsi="Times New Roman" w:cs="Times New Roman"/>
        </w:rPr>
        <w:t xml:space="preserve">The current legal and regulatory framework concerning Protected Areas in Grenada has several law-based gaps that prevent effective PA management. While Forestry management is currently administered </w:t>
      </w:r>
      <w:r w:rsidR="00972C49">
        <w:rPr>
          <w:rFonts w:ascii="Times New Roman" w:hAnsi="Times New Roman" w:cs="Times New Roman"/>
        </w:rPr>
        <w:t>through</w:t>
      </w:r>
      <w:r w:rsidRPr="002E3914">
        <w:rPr>
          <w:rFonts w:ascii="Times New Roman" w:hAnsi="Times New Roman" w:cs="Times New Roman"/>
        </w:rPr>
        <w:t xml:space="preserve"> legislation such as: </w:t>
      </w:r>
      <w:r w:rsidRPr="002E3914">
        <w:rPr>
          <w:rFonts w:ascii="Times New Roman" w:hAnsi="Times New Roman" w:cs="Times New Roman"/>
          <w:i/>
        </w:rPr>
        <w:t>National Heritage</w:t>
      </w:r>
      <w:r w:rsidRPr="002E3914">
        <w:rPr>
          <w:rFonts w:ascii="Times New Roman" w:hAnsi="Times New Roman" w:cs="Times New Roman"/>
        </w:rPr>
        <w:t xml:space="preserve"> </w:t>
      </w:r>
      <w:r w:rsidRPr="002E3914">
        <w:rPr>
          <w:rFonts w:ascii="Times New Roman" w:hAnsi="Times New Roman" w:cs="Times New Roman"/>
          <w:i/>
        </w:rPr>
        <w:t>Protection Act</w:t>
      </w:r>
      <w:r w:rsidRPr="002E3914">
        <w:rPr>
          <w:rFonts w:ascii="Times New Roman" w:hAnsi="Times New Roman" w:cs="Times New Roman"/>
        </w:rPr>
        <w:t xml:space="preserve"> (1990), the </w:t>
      </w:r>
      <w:r w:rsidRPr="002E3914">
        <w:rPr>
          <w:rFonts w:ascii="Times New Roman" w:hAnsi="Times New Roman" w:cs="Times New Roman"/>
          <w:i/>
        </w:rPr>
        <w:t>National Parks and Protected Areas Act</w:t>
      </w:r>
      <w:r w:rsidRPr="002E3914">
        <w:rPr>
          <w:rFonts w:ascii="Times New Roman" w:hAnsi="Times New Roman" w:cs="Times New Roman"/>
        </w:rPr>
        <w:t xml:space="preserve"> (1991) and the </w:t>
      </w:r>
      <w:r w:rsidRPr="002E3914">
        <w:rPr>
          <w:rFonts w:ascii="Times New Roman" w:hAnsi="Times New Roman" w:cs="Times New Roman"/>
          <w:i/>
        </w:rPr>
        <w:t>Forest, Soil and Water</w:t>
      </w:r>
      <w:r w:rsidRPr="002E3914">
        <w:rPr>
          <w:rFonts w:ascii="Times New Roman" w:hAnsi="Times New Roman" w:cs="Times New Roman"/>
        </w:rPr>
        <w:t xml:space="preserve"> </w:t>
      </w:r>
      <w:r w:rsidRPr="002E3914">
        <w:rPr>
          <w:rFonts w:ascii="Times New Roman" w:hAnsi="Times New Roman" w:cs="Times New Roman"/>
          <w:i/>
        </w:rPr>
        <w:t xml:space="preserve">Conservation Act </w:t>
      </w:r>
      <w:r w:rsidRPr="002E3914">
        <w:rPr>
          <w:rFonts w:ascii="Times New Roman" w:hAnsi="Times New Roman" w:cs="Times New Roman"/>
        </w:rPr>
        <w:t>(1947) as well as a few Standing Rules and Orders (regulations), there is a need for more adaptive legislation to accommodate bette</w:t>
      </w:r>
      <w:r w:rsidR="00972C49">
        <w:rPr>
          <w:rFonts w:ascii="Times New Roman" w:hAnsi="Times New Roman" w:cs="Times New Roman"/>
        </w:rPr>
        <w:t xml:space="preserve">r conservation of Biodiversity, </w:t>
      </w:r>
      <w:r w:rsidRPr="002E3914">
        <w:rPr>
          <w:rFonts w:ascii="Times New Roman" w:hAnsi="Times New Roman" w:cs="Times New Roman"/>
        </w:rPr>
        <w:t>better SLM, SFM/REDD+, LD and CC adaption principle</w:t>
      </w:r>
      <w:r w:rsidR="00972C49">
        <w:rPr>
          <w:rFonts w:ascii="Times New Roman" w:hAnsi="Times New Roman" w:cs="Times New Roman"/>
        </w:rPr>
        <w:t>s</w:t>
      </w:r>
      <w:r w:rsidRPr="002E3914">
        <w:rPr>
          <w:rFonts w:ascii="Times New Roman" w:hAnsi="Times New Roman" w:cs="Times New Roman"/>
        </w:rPr>
        <w:t xml:space="preserve"> and practices in </w:t>
      </w:r>
      <w:r w:rsidR="00972C49">
        <w:rPr>
          <w:rFonts w:ascii="Times New Roman" w:hAnsi="Times New Roman" w:cs="Times New Roman"/>
        </w:rPr>
        <w:t>TPAs</w:t>
      </w:r>
      <w:r w:rsidRPr="002E3914">
        <w:rPr>
          <w:rFonts w:ascii="Times New Roman" w:hAnsi="Times New Roman" w:cs="Times New Roman"/>
        </w:rPr>
        <w:t>. A draft bill: “</w:t>
      </w:r>
      <w:r w:rsidRPr="002E3914">
        <w:rPr>
          <w:rFonts w:ascii="Times New Roman" w:hAnsi="Times New Roman" w:cs="Times New Roman"/>
          <w:i/>
        </w:rPr>
        <w:t>Protected Areas, Forestry and Wildlife</w:t>
      </w:r>
      <w:r w:rsidRPr="002E3914">
        <w:rPr>
          <w:rFonts w:ascii="Times New Roman" w:hAnsi="Times New Roman" w:cs="Times New Roman"/>
        </w:rPr>
        <w:t xml:space="preserve">” as yet remains un-enacted, likely due to limited capacity to satisfy institutional requirements, among other reasons. Through this Output, the project will facilitate the thorough review, adaptation and enactment of this bill, taking into account current requirements. While the existing legal and regulatory provisions for </w:t>
      </w:r>
      <w:r w:rsidR="00972C49">
        <w:rPr>
          <w:rFonts w:ascii="Times New Roman" w:hAnsi="Times New Roman" w:cs="Times New Roman"/>
        </w:rPr>
        <w:t>MPAs</w:t>
      </w:r>
      <w:r w:rsidRPr="002E3914">
        <w:rPr>
          <w:rFonts w:ascii="Times New Roman" w:hAnsi="Times New Roman" w:cs="Times New Roman"/>
        </w:rPr>
        <w:t xml:space="preserve"> are more complete than those for TPAs, they will also need to be reviewed and adjusted to ensure consistency with current requirements for active and effective management.</w:t>
      </w:r>
      <w:r w:rsidR="004F126E" w:rsidRPr="004F126E">
        <w:rPr>
          <w:rFonts w:ascii="Times New Roman" w:hAnsi="Times New Roman" w:cs="Times New Roman"/>
        </w:rPr>
        <w:t xml:space="preserve"> This Output is critical to ensuring that clear policy is in place to guide and support the institutional strengthening in Output 1.1, including the development and administration of a Strategic Plan of Action for TPAs.</w:t>
      </w:r>
    </w:p>
    <w:p w14:paraId="4D068D03" w:rsidR="00133632" w:rsidRDefault="007919A9" w:rsidP="009C3E04">
      <w:pPr>
        <w:pStyle w:val="NoSpacing"/>
        <w:rPr>
          <w:rFonts w:ascii="Times New Roman" w:hAnsi="Times New Roman" w:cs="Times New Roman"/>
          <w:b/>
          <w:i/>
        </w:rPr>
      </w:pPr>
      <w:r w:rsidRPr="002E3914">
        <w:rPr>
          <w:rFonts w:ascii="Times New Roman" w:hAnsi="Times New Roman" w:cs="Times New Roman"/>
          <w:b/>
          <w:i/>
        </w:rPr>
        <w:t xml:space="preserve">Output </w:t>
      </w:r>
      <w:r w:rsidR="00133632" w:rsidRPr="002E3914">
        <w:rPr>
          <w:rFonts w:ascii="Times New Roman" w:hAnsi="Times New Roman" w:cs="Times New Roman"/>
          <w:b/>
          <w:i/>
        </w:rPr>
        <w:t>1.3. Expanded Protected Areas System</w:t>
      </w:r>
    </w:p>
    <w:p w14:paraId="663CB417" w:rsidR="00C54044" w:rsidRPr="002E3914" w:rsidRDefault="00C54044" w:rsidP="009C3E04">
      <w:pPr>
        <w:pStyle w:val="NoSpacing"/>
        <w:rPr>
          <w:rFonts w:ascii="Times New Roman" w:hAnsi="Times New Roman" w:cs="Times New Roman"/>
          <w:i/>
        </w:rPr>
      </w:pPr>
    </w:p>
    <w:p w14:paraId="66E0CECC" w:rsidR="002045A5" w:rsidRDefault="002045A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045A5">
        <w:rPr>
          <w:rFonts w:ascii="Times New Roman" w:hAnsi="Times New Roman" w:cs="Times New Roman"/>
        </w:rPr>
        <w:t>The project envi</w:t>
      </w:r>
      <w:r>
        <w:rPr>
          <w:rFonts w:ascii="Times New Roman" w:hAnsi="Times New Roman" w:cs="Times New Roman"/>
        </w:rPr>
        <w:t>sions</w:t>
      </w:r>
      <w:r w:rsidRPr="002045A5">
        <w:rPr>
          <w:rFonts w:ascii="Times New Roman" w:hAnsi="Times New Roman" w:cs="Times New Roman"/>
        </w:rPr>
        <w:t xml:space="preserve"> a long-term solution to the protection of BD and ecosystems functions </w:t>
      </w:r>
      <w:r>
        <w:rPr>
          <w:rFonts w:ascii="Times New Roman" w:hAnsi="Times New Roman" w:cs="Times New Roman"/>
        </w:rPr>
        <w:t>through the implementation of strategic integrated</w:t>
      </w:r>
      <w:r w:rsidRPr="002045A5">
        <w:rPr>
          <w:rFonts w:ascii="Times New Roman" w:hAnsi="Times New Roman" w:cs="Times New Roman"/>
        </w:rPr>
        <w:t xml:space="preserve"> management plan</w:t>
      </w:r>
      <w:r>
        <w:rPr>
          <w:rFonts w:ascii="Times New Roman" w:hAnsi="Times New Roman" w:cs="Times New Roman"/>
        </w:rPr>
        <w:t>s</w:t>
      </w:r>
      <w:r w:rsidRPr="002045A5">
        <w:rPr>
          <w:rFonts w:ascii="Times New Roman" w:hAnsi="Times New Roman" w:cs="Times New Roman"/>
        </w:rPr>
        <w:t xml:space="preserve"> for TPA</w:t>
      </w:r>
      <w:r>
        <w:rPr>
          <w:rFonts w:ascii="Times New Roman" w:hAnsi="Times New Roman" w:cs="Times New Roman"/>
        </w:rPr>
        <w:t>s</w:t>
      </w:r>
      <w:r w:rsidRPr="002045A5">
        <w:rPr>
          <w:rFonts w:ascii="Times New Roman" w:hAnsi="Times New Roman" w:cs="Times New Roman"/>
        </w:rPr>
        <w:t xml:space="preserve"> and MPA</w:t>
      </w:r>
      <w:r>
        <w:rPr>
          <w:rFonts w:ascii="Times New Roman" w:hAnsi="Times New Roman" w:cs="Times New Roman"/>
        </w:rPr>
        <w:t>s</w:t>
      </w:r>
      <w:r w:rsidRPr="002045A5">
        <w:rPr>
          <w:rFonts w:ascii="Times New Roman" w:hAnsi="Times New Roman" w:cs="Times New Roman"/>
        </w:rPr>
        <w:t xml:space="preserve"> with their adjacent landscapes and seascapes. </w:t>
      </w:r>
      <w:r>
        <w:rPr>
          <w:rFonts w:ascii="Times New Roman" w:hAnsi="Times New Roman" w:cs="Times New Roman"/>
        </w:rPr>
        <w:t>A</w:t>
      </w:r>
      <w:r w:rsidRPr="002045A5">
        <w:rPr>
          <w:rFonts w:ascii="Times New Roman" w:hAnsi="Times New Roman" w:cs="Times New Roman"/>
        </w:rPr>
        <w:t xml:space="preserve">s a small island of about 133sq. miles/344 square </w:t>
      </w:r>
      <w:r w:rsidR="00972C49" w:rsidRPr="002045A5">
        <w:rPr>
          <w:rFonts w:ascii="Times New Roman" w:hAnsi="Times New Roman" w:cs="Times New Roman"/>
        </w:rPr>
        <w:t>kilometers</w:t>
      </w:r>
      <w:r w:rsidRPr="002045A5">
        <w:rPr>
          <w:rFonts w:ascii="Times New Roman" w:hAnsi="Times New Roman" w:cs="Times New Roman"/>
        </w:rPr>
        <w:t>,</w:t>
      </w:r>
      <w:r>
        <w:rPr>
          <w:rFonts w:ascii="Times New Roman" w:hAnsi="Times New Roman" w:cs="Times New Roman"/>
        </w:rPr>
        <w:t xml:space="preserve"> Grenada is</w:t>
      </w:r>
      <w:r w:rsidRPr="002045A5">
        <w:rPr>
          <w:rFonts w:ascii="Times New Roman" w:hAnsi="Times New Roman" w:cs="Times New Roman"/>
        </w:rPr>
        <w:t xml:space="preserve"> able to accommodate a limited number of TPAs between 1544ha. and 8ha.; where island lands</w:t>
      </w:r>
      <w:r>
        <w:rPr>
          <w:rFonts w:ascii="Times New Roman" w:hAnsi="Times New Roman" w:cs="Times New Roman"/>
        </w:rPr>
        <w:t>capes consist of micro-water</w:t>
      </w:r>
      <w:r w:rsidRPr="002045A5">
        <w:rPr>
          <w:rFonts w:ascii="Times New Roman" w:hAnsi="Times New Roman" w:cs="Times New Roman"/>
        </w:rPr>
        <w:t xml:space="preserve">sheds that directly impact island shelf seascapes; potable water sources </w:t>
      </w:r>
      <w:r>
        <w:rPr>
          <w:rFonts w:ascii="Times New Roman" w:hAnsi="Times New Roman" w:cs="Times New Roman"/>
        </w:rPr>
        <w:t>a</w:t>
      </w:r>
      <w:r w:rsidRPr="002045A5">
        <w:rPr>
          <w:rFonts w:ascii="Times New Roman" w:hAnsi="Times New Roman" w:cs="Times New Roman"/>
        </w:rPr>
        <w:t>re shared with farmers growing food crop</w:t>
      </w:r>
      <w:r>
        <w:rPr>
          <w:rFonts w:ascii="Times New Roman" w:hAnsi="Times New Roman" w:cs="Times New Roman"/>
        </w:rPr>
        <w:t>s</w:t>
      </w:r>
      <w:r w:rsidRPr="002045A5">
        <w:rPr>
          <w:rFonts w:ascii="Times New Roman" w:hAnsi="Times New Roman" w:cs="Times New Roman"/>
        </w:rPr>
        <w:t xml:space="preserve"> scattered among several residential housing areas</w:t>
      </w:r>
      <w:r>
        <w:rPr>
          <w:rFonts w:ascii="Times New Roman" w:hAnsi="Times New Roman" w:cs="Times New Roman"/>
        </w:rPr>
        <w:t>;</w:t>
      </w:r>
      <w:r w:rsidRPr="002045A5">
        <w:rPr>
          <w:rFonts w:ascii="Times New Roman" w:hAnsi="Times New Roman" w:cs="Times New Roman"/>
        </w:rPr>
        <w:t xml:space="preserve"> and tree crops such as agro-forests on middle altitude landscapes are often threatened by agricultural expansion and forest fire and hurricane damage. Insufficiently managed </w:t>
      </w:r>
      <w:r w:rsidR="00D52CAF">
        <w:rPr>
          <w:rFonts w:ascii="Times New Roman" w:hAnsi="Times New Roman" w:cs="Times New Roman"/>
        </w:rPr>
        <w:t>“</w:t>
      </w:r>
      <w:r w:rsidRPr="002045A5">
        <w:rPr>
          <w:rFonts w:ascii="Times New Roman" w:hAnsi="Times New Roman" w:cs="Times New Roman"/>
        </w:rPr>
        <w:t>contested use</w:t>
      </w:r>
      <w:r w:rsidR="00D52CAF">
        <w:rPr>
          <w:rFonts w:ascii="Times New Roman" w:hAnsi="Times New Roman" w:cs="Times New Roman"/>
        </w:rPr>
        <w:t>”</w:t>
      </w:r>
      <w:r w:rsidRPr="002045A5">
        <w:rPr>
          <w:rFonts w:ascii="Times New Roman" w:hAnsi="Times New Roman" w:cs="Times New Roman"/>
        </w:rPr>
        <w:t xml:space="preserve"> of landscapes and seascapes is a major challenge. Within this context, a PA network is being expanded where there are only 8 TPAs of </w:t>
      </w:r>
      <w:r w:rsidR="00972C49" w:rsidRPr="002045A5">
        <w:rPr>
          <w:rFonts w:ascii="Times New Roman" w:hAnsi="Times New Roman" w:cs="Times New Roman"/>
        </w:rPr>
        <w:t xml:space="preserve">more than 25 </w:t>
      </w:r>
      <w:r w:rsidRPr="002045A5">
        <w:rPr>
          <w:rFonts w:ascii="Times New Roman" w:hAnsi="Times New Roman" w:cs="Times New Roman"/>
        </w:rPr>
        <w:t>hectares; only three of these are legally established and hav</w:t>
      </w:r>
      <w:r>
        <w:rPr>
          <w:rFonts w:ascii="Times New Roman" w:hAnsi="Times New Roman" w:cs="Times New Roman"/>
        </w:rPr>
        <w:t>e</w:t>
      </w:r>
      <w:r w:rsidRPr="002045A5">
        <w:rPr>
          <w:rFonts w:ascii="Times New Roman" w:hAnsi="Times New Roman" w:cs="Times New Roman"/>
        </w:rPr>
        <w:t xml:space="preserve"> management plans; five others, although legally established</w:t>
      </w:r>
      <w:r>
        <w:rPr>
          <w:rFonts w:ascii="Times New Roman" w:hAnsi="Times New Roman" w:cs="Times New Roman"/>
        </w:rPr>
        <w:t>,</w:t>
      </w:r>
      <w:r w:rsidRPr="002045A5">
        <w:rPr>
          <w:rFonts w:ascii="Times New Roman" w:hAnsi="Times New Roman" w:cs="Times New Roman"/>
        </w:rPr>
        <w:t xml:space="preserve"> </w:t>
      </w:r>
      <w:r>
        <w:rPr>
          <w:rFonts w:ascii="Times New Roman" w:hAnsi="Times New Roman" w:cs="Times New Roman"/>
        </w:rPr>
        <w:t>have</w:t>
      </w:r>
      <w:r w:rsidRPr="002045A5">
        <w:rPr>
          <w:rFonts w:ascii="Times New Roman" w:hAnsi="Times New Roman" w:cs="Times New Roman"/>
        </w:rPr>
        <w:t xml:space="preserve"> no management plans. In Grenada</w:t>
      </w:r>
      <w:r w:rsidR="00972C49">
        <w:rPr>
          <w:rFonts w:ascii="Times New Roman" w:hAnsi="Times New Roman" w:cs="Times New Roman"/>
        </w:rPr>
        <w:t>,</w:t>
      </w:r>
      <w:r w:rsidRPr="002045A5">
        <w:rPr>
          <w:rFonts w:ascii="Times New Roman" w:hAnsi="Times New Roman" w:cs="Times New Roman"/>
        </w:rPr>
        <w:t xml:space="preserve"> where 85% of lands are privately owned and much of </w:t>
      </w:r>
      <w:r>
        <w:rPr>
          <w:rFonts w:ascii="Times New Roman" w:hAnsi="Times New Roman" w:cs="Times New Roman"/>
        </w:rPr>
        <w:t>the</w:t>
      </w:r>
      <w:r w:rsidRPr="002045A5">
        <w:rPr>
          <w:rFonts w:ascii="Times New Roman" w:hAnsi="Times New Roman" w:cs="Times New Roman"/>
        </w:rPr>
        <w:t xml:space="preserve"> 15% Crown land is being allocated as opportunity for a large segment of the population to own residential plots, the hectares available for “green places, open spaces” (TPAs) is highly limited. </w:t>
      </w:r>
    </w:p>
    <w:p w14:paraId="03FE9D78" w:rsidR="00870DA8" w:rsidRPr="00870DA8" w:rsidRDefault="002045A5"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870DA8">
        <w:rPr>
          <w:rFonts w:ascii="Times New Roman" w:hAnsi="Times New Roman" w:cs="Times New Roman"/>
        </w:rPr>
        <w:t xml:space="preserve">Consequently, the focus of the project </w:t>
      </w:r>
      <w:r w:rsidR="00DB29A7" w:rsidRPr="00870DA8">
        <w:rPr>
          <w:rFonts w:ascii="Times New Roman" w:hAnsi="Times New Roman" w:cs="Times New Roman"/>
        </w:rPr>
        <w:t>at the PA site level</w:t>
      </w:r>
      <w:r w:rsidRPr="00870DA8">
        <w:rPr>
          <w:rFonts w:ascii="Times New Roman" w:hAnsi="Times New Roman" w:cs="Times New Roman"/>
        </w:rPr>
        <w:t xml:space="preserve"> would be to first </w:t>
      </w:r>
      <w:r w:rsidR="00DB29A7" w:rsidRPr="00870DA8">
        <w:rPr>
          <w:rFonts w:ascii="Times New Roman" w:hAnsi="Times New Roman" w:cs="Times New Roman"/>
        </w:rPr>
        <w:t xml:space="preserve">work in </w:t>
      </w:r>
      <w:r w:rsidR="00972C49">
        <w:rPr>
          <w:rFonts w:ascii="Times New Roman" w:hAnsi="Times New Roman" w:cs="Times New Roman"/>
        </w:rPr>
        <w:t xml:space="preserve">the </w:t>
      </w:r>
      <w:r w:rsidR="00DB29A7" w:rsidRPr="00870DA8">
        <w:rPr>
          <w:rFonts w:ascii="Times New Roman" w:hAnsi="Times New Roman" w:cs="Times New Roman"/>
        </w:rPr>
        <w:t>8 existing and 1 new TPAs to convert them into 9 fully-functional</w:t>
      </w:r>
      <w:r w:rsidRPr="00870DA8">
        <w:rPr>
          <w:rFonts w:ascii="Times New Roman" w:hAnsi="Times New Roman" w:cs="Times New Roman"/>
        </w:rPr>
        <w:t xml:space="preserve"> TPAs</w:t>
      </w:r>
      <w:r w:rsidR="00DB29A7" w:rsidRPr="00870DA8">
        <w:rPr>
          <w:rFonts w:ascii="Times New Roman" w:hAnsi="Times New Roman" w:cs="Times New Roman"/>
        </w:rPr>
        <w:t>, which together account for 5% of the landmass of Grenada; as well as 3 existing and 4 new MPAs</w:t>
      </w:r>
      <w:r w:rsidRPr="00870DA8">
        <w:rPr>
          <w:rFonts w:ascii="Times New Roman" w:hAnsi="Times New Roman" w:cs="Times New Roman"/>
        </w:rPr>
        <w:t xml:space="preserve"> </w:t>
      </w:r>
      <w:r w:rsidR="00DB29A7" w:rsidRPr="00870DA8">
        <w:rPr>
          <w:rFonts w:ascii="Times New Roman" w:hAnsi="Times New Roman" w:cs="Times New Roman"/>
        </w:rPr>
        <w:t>for a total of</w:t>
      </w:r>
      <w:r w:rsidRPr="00870DA8">
        <w:rPr>
          <w:rFonts w:ascii="Times New Roman" w:hAnsi="Times New Roman" w:cs="Times New Roman"/>
        </w:rPr>
        <w:t xml:space="preserve"> 7 </w:t>
      </w:r>
      <w:r w:rsidR="00DB29A7" w:rsidRPr="00870DA8">
        <w:rPr>
          <w:rFonts w:ascii="Times New Roman" w:hAnsi="Times New Roman" w:cs="Times New Roman"/>
        </w:rPr>
        <w:t xml:space="preserve">fully-functional </w:t>
      </w:r>
      <w:r w:rsidRPr="00870DA8">
        <w:rPr>
          <w:rFonts w:ascii="Times New Roman" w:hAnsi="Times New Roman" w:cs="Times New Roman"/>
        </w:rPr>
        <w:t xml:space="preserve">MPAs. </w:t>
      </w:r>
      <w:r w:rsidR="00DB29A7" w:rsidRPr="00870DA8">
        <w:rPr>
          <w:rFonts w:ascii="Times New Roman" w:hAnsi="Times New Roman" w:cs="Times New Roman"/>
        </w:rPr>
        <w:t>Four</w:t>
      </w:r>
      <w:r w:rsidRPr="00870DA8">
        <w:rPr>
          <w:rFonts w:ascii="Times New Roman" w:hAnsi="Times New Roman" w:cs="Times New Roman"/>
        </w:rPr>
        <w:t xml:space="preserve"> other micro-PAs are suggested for enhancements so as to </w:t>
      </w:r>
      <w:r w:rsidR="00972C49" w:rsidRPr="00870DA8">
        <w:rPr>
          <w:rFonts w:ascii="Times New Roman" w:hAnsi="Times New Roman" w:cs="Times New Roman"/>
        </w:rPr>
        <w:t>boost</w:t>
      </w:r>
      <w:r w:rsidRPr="00870DA8">
        <w:rPr>
          <w:rFonts w:ascii="Times New Roman" w:hAnsi="Times New Roman" w:cs="Times New Roman"/>
        </w:rPr>
        <w:t xml:space="preserve"> the status of all as full TPAs in a complete network.  </w:t>
      </w:r>
      <w:r w:rsidR="00870DA8" w:rsidRPr="00870DA8">
        <w:rPr>
          <w:rFonts w:ascii="Times New Roman" w:hAnsi="Times New Roman" w:cs="Times New Roman"/>
        </w:rPr>
        <w:t>Table</w:t>
      </w:r>
      <w:r w:rsidR="002A7250">
        <w:rPr>
          <w:rFonts w:ascii="Times New Roman" w:hAnsi="Times New Roman" w:cs="Times New Roman"/>
        </w:rPr>
        <w:t xml:space="preserve"> 5</w:t>
      </w:r>
      <w:r w:rsidR="00870DA8" w:rsidRPr="00870DA8">
        <w:rPr>
          <w:rFonts w:ascii="Times New Roman" w:hAnsi="Times New Roman" w:cs="Times New Roman"/>
        </w:rPr>
        <w:t xml:space="preserve"> profiles the current classification/status at each of the 22 </w:t>
      </w:r>
      <w:r w:rsidR="00972C49">
        <w:rPr>
          <w:rFonts w:ascii="Times New Roman" w:hAnsi="Times New Roman" w:cs="Times New Roman"/>
        </w:rPr>
        <w:t>R</w:t>
      </w:r>
      <w:r w:rsidR="00870DA8" w:rsidRPr="00870DA8">
        <w:rPr>
          <w:rFonts w:ascii="Times New Roman" w:hAnsi="Times New Roman" w:cs="Times New Roman"/>
        </w:rPr>
        <w:t>idge-to-</w:t>
      </w:r>
      <w:r w:rsidR="00972C49">
        <w:rPr>
          <w:rFonts w:ascii="Times New Roman" w:hAnsi="Times New Roman" w:cs="Times New Roman"/>
        </w:rPr>
        <w:t>R</w:t>
      </w:r>
      <w:r w:rsidR="00870DA8" w:rsidRPr="00870DA8">
        <w:rPr>
          <w:rFonts w:ascii="Times New Roman" w:hAnsi="Times New Roman" w:cs="Times New Roman"/>
        </w:rPr>
        <w:t xml:space="preserve">eef project sites and indicates their areal extent. </w:t>
      </w:r>
      <w:r w:rsidR="002A7250">
        <w:rPr>
          <w:rFonts w:ascii="Times New Roman" w:hAnsi="Times New Roman" w:cs="Times New Roman"/>
        </w:rPr>
        <w:t>Figure 3</w:t>
      </w:r>
      <w:r w:rsidR="00870DA8" w:rsidRPr="00870DA8">
        <w:rPr>
          <w:rFonts w:ascii="Times New Roman" w:hAnsi="Times New Roman" w:cs="Times New Roman"/>
          <w:color w:val="FF0000"/>
        </w:rPr>
        <w:t xml:space="preserve"> </w:t>
      </w:r>
      <w:r w:rsidR="00870DA8" w:rsidRPr="00870DA8">
        <w:rPr>
          <w:rFonts w:ascii="Times New Roman" w:hAnsi="Times New Roman" w:cs="Times New Roman"/>
        </w:rPr>
        <w:t>identif</w:t>
      </w:r>
      <w:r w:rsidR="002A7250">
        <w:rPr>
          <w:rFonts w:ascii="Times New Roman" w:hAnsi="Times New Roman" w:cs="Times New Roman"/>
        </w:rPr>
        <w:t>ies</w:t>
      </w:r>
      <w:r w:rsidR="00870DA8" w:rsidRPr="00870DA8">
        <w:rPr>
          <w:rFonts w:ascii="Times New Roman" w:hAnsi="Times New Roman" w:cs="Times New Roman"/>
        </w:rPr>
        <w:t xml:space="preserve"> </w:t>
      </w:r>
      <w:r w:rsidR="00A924AC">
        <w:rPr>
          <w:rFonts w:ascii="Times New Roman" w:hAnsi="Times New Roman" w:cs="Times New Roman"/>
        </w:rPr>
        <w:t>R</w:t>
      </w:r>
      <w:r w:rsidR="00870DA8" w:rsidRPr="00870DA8">
        <w:rPr>
          <w:rFonts w:ascii="Times New Roman" w:hAnsi="Times New Roman" w:cs="Times New Roman"/>
        </w:rPr>
        <w:t>idge-to-</w:t>
      </w:r>
      <w:r w:rsidR="00A924AC">
        <w:rPr>
          <w:rFonts w:ascii="Times New Roman" w:hAnsi="Times New Roman" w:cs="Times New Roman"/>
        </w:rPr>
        <w:t>R</w:t>
      </w:r>
      <w:r w:rsidR="00870DA8" w:rsidRPr="00870DA8">
        <w:rPr>
          <w:rFonts w:ascii="Times New Roman" w:hAnsi="Times New Roman" w:cs="Times New Roman"/>
        </w:rPr>
        <w:t>eef site locations (with their existing borders or projected boundaries) showing land classes and habitat types within and around project sites.</w:t>
      </w:r>
    </w:p>
    <w:p w14:paraId="41A3B185" w:rsidR="0057151B" w:rsidRDefault="0057151B">
      <w:pPr>
        <w:rPr>
          <w:rFonts w:ascii="Times New Roman" w:hAnsi="Times New Roman" w:cs="Times New Roman"/>
          <w:b/>
        </w:rPr>
      </w:pPr>
      <w:r>
        <w:rPr>
          <w:rFonts w:ascii="Times New Roman" w:hAnsi="Times New Roman" w:cs="Times New Roman"/>
          <w:b/>
        </w:rPr>
        <w:br w:type="page"/>
      </w:r>
    </w:p>
    <w:p w14:paraId="234AABF6" w:rsidR="00870DA8" w:rsidRPr="002A7250" w:rsidRDefault="00870DA8" w:rsidP="00870DA8">
      <w:pPr>
        <w:spacing w:after="0" w:line="240" w:lineRule="auto"/>
        <w:jc w:val="center"/>
        <w:rPr>
          <w:rFonts w:ascii="Times New Roman" w:hAnsi="Times New Roman" w:cs="Times New Roman"/>
          <w:b/>
        </w:rPr>
      </w:pPr>
      <w:r w:rsidRPr="002A7250">
        <w:rPr>
          <w:rFonts w:ascii="Times New Roman" w:hAnsi="Times New Roman" w:cs="Times New Roman"/>
          <w:b/>
        </w:rPr>
        <w:t xml:space="preserve">Table </w:t>
      </w:r>
      <w:r w:rsidR="002A7250" w:rsidRPr="002A7250">
        <w:rPr>
          <w:rFonts w:ascii="Times New Roman" w:hAnsi="Times New Roman" w:cs="Times New Roman"/>
          <w:b/>
        </w:rPr>
        <w:t>5</w:t>
      </w:r>
      <w:r w:rsidRPr="002A7250">
        <w:rPr>
          <w:rFonts w:ascii="Times New Roman" w:hAnsi="Times New Roman" w:cs="Times New Roman"/>
          <w:b/>
        </w:rPr>
        <w:t>: Ridge-to-reef project site profiles</w:t>
      </w:r>
    </w:p>
    <w:tbl>
      <w:tblPr>
        <w:tblStyle w:val="TableGrid3"/>
        <w:tblW w:w="8647" w:type="dxa"/>
        <w:tblInd w:w="392" w:type="dxa"/>
        <w:tblLayout w:type="fixed"/>
        <w:tblLook w:val="04A0" w:firstRow="1" w:lastRow="0" w:firstColumn="1" w:lastColumn="0" w:noHBand="0" w:noVBand="1"/>
      </w:tblPr>
      <w:tblGrid>
        <w:gridCol w:w="4252"/>
        <w:gridCol w:w="709"/>
        <w:gridCol w:w="709"/>
        <w:gridCol w:w="1134"/>
        <w:gridCol w:w="1843"/>
      </w:tblGrid>
      <w:tr w14:paraId="1D2385FE" w:rsidR="00870DA8" w:rsidRPr="00870DA8" w:rsidTr="00870DA8">
        <w:tc>
          <w:tcPr>
            <w:tcW w:w="4252" w:type="dxa"/>
            <w:tcBorders>
              <w:bottom w:val="single" w:sz="4" w:space="0" w:color="auto"/>
            </w:tcBorders>
            <w:vAlign w:val="center"/>
          </w:tcPr>
          <w:p w14:paraId="2C2DAC2F" w:rsidR="00870DA8" w:rsidRPr="00870DA8" w:rsidRDefault="00870DA8" w:rsidP="00870DA8">
            <w:pPr>
              <w:spacing w:before="80" w:after="120"/>
              <w:rPr>
                <w:rFonts w:ascii="Times New Roman" w:hAnsi="Times New Roman" w:cs="Times New Roman"/>
                <w:b/>
                <w:sz w:val="20"/>
                <w:szCs w:val="20"/>
              </w:rPr>
            </w:pPr>
            <w:r w:rsidRPr="00870DA8">
              <w:rPr>
                <w:rFonts w:ascii="Times New Roman" w:hAnsi="Times New Roman" w:cs="Times New Roman"/>
                <w:b/>
                <w:sz w:val="20"/>
                <w:szCs w:val="20"/>
              </w:rPr>
              <w:t>Official name / current designation / site status</w:t>
            </w:r>
          </w:p>
        </w:tc>
        <w:tc>
          <w:tcPr>
            <w:tcW w:w="709" w:type="dxa"/>
            <w:tcBorders>
              <w:bottom w:val="single" w:sz="4" w:space="0" w:color="auto"/>
            </w:tcBorders>
          </w:tcPr>
          <w:p w14:paraId="024C547B" w:rsidR="00870DA8" w:rsidRPr="00870DA8" w:rsidRDefault="00870DA8" w:rsidP="00870DA8">
            <w:pPr>
              <w:spacing w:before="80" w:after="120"/>
              <w:jc w:val="center"/>
              <w:rPr>
                <w:rFonts w:ascii="Times New Roman" w:hAnsi="Times New Roman" w:cs="Times New Roman"/>
                <w:b/>
                <w:sz w:val="20"/>
                <w:szCs w:val="20"/>
              </w:rPr>
            </w:pPr>
            <w:r w:rsidRPr="00870DA8">
              <w:rPr>
                <w:rFonts w:ascii="Times New Roman" w:hAnsi="Times New Roman" w:cs="Times New Roman"/>
                <w:b/>
                <w:sz w:val="20"/>
                <w:szCs w:val="20"/>
              </w:rPr>
              <w:t>Land (ha)</w:t>
            </w:r>
          </w:p>
        </w:tc>
        <w:tc>
          <w:tcPr>
            <w:tcW w:w="709" w:type="dxa"/>
            <w:tcBorders>
              <w:bottom w:val="single" w:sz="4" w:space="0" w:color="auto"/>
            </w:tcBorders>
          </w:tcPr>
          <w:p w14:paraId="5BEFAE74" w:rsidR="00870DA8" w:rsidRPr="00870DA8" w:rsidRDefault="00870DA8" w:rsidP="00870DA8">
            <w:pPr>
              <w:spacing w:before="80" w:after="120"/>
              <w:jc w:val="center"/>
              <w:rPr>
                <w:rFonts w:ascii="Times New Roman" w:hAnsi="Times New Roman" w:cs="Times New Roman"/>
                <w:b/>
                <w:sz w:val="20"/>
                <w:szCs w:val="20"/>
              </w:rPr>
            </w:pPr>
            <w:r w:rsidRPr="00870DA8">
              <w:rPr>
                <w:rFonts w:ascii="Times New Roman" w:hAnsi="Times New Roman" w:cs="Times New Roman"/>
                <w:b/>
                <w:sz w:val="20"/>
                <w:szCs w:val="20"/>
              </w:rPr>
              <w:t>Sea (ha)</w:t>
            </w:r>
          </w:p>
        </w:tc>
        <w:tc>
          <w:tcPr>
            <w:tcW w:w="1134" w:type="dxa"/>
            <w:tcBorders>
              <w:bottom w:val="single" w:sz="4" w:space="0" w:color="auto"/>
            </w:tcBorders>
            <w:vAlign w:val="center"/>
          </w:tcPr>
          <w:p w14:paraId="00954C13" w:rsidR="00870DA8" w:rsidRPr="00870DA8" w:rsidRDefault="00870DA8" w:rsidP="00870DA8">
            <w:pPr>
              <w:spacing w:before="80" w:after="120"/>
              <w:jc w:val="center"/>
              <w:rPr>
                <w:rFonts w:ascii="Times New Roman" w:hAnsi="Times New Roman" w:cs="Times New Roman"/>
                <w:b/>
                <w:sz w:val="20"/>
                <w:szCs w:val="20"/>
              </w:rPr>
            </w:pPr>
            <w:r w:rsidRPr="00870DA8">
              <w:rPr>
                <w:rFonts w:ascii="Times New Roman" w:hAnsi="Times New Roman" w:cs="Times New Roman"/>
                <w:b/>
                <w:sz w:val="20"/>
                <w:szCs w:val="20"/>
              </w:rPr>
              <w:t>Total area (ha)</w:t>
            </w:r>
          </w:p>
        </w:tc>
        <w:tc>
          <w:tcPr>
            <w:tcW w:w="1843" w:type="dxa"/>
            <w:tcBorders>
              <w:bottom w:val="single" w:sz="4" w:space="0" w:color="auto"/>
            </w:tcBorders>
            <w:vAlign w:val="center"/>
          </w:tcPr>
          <w:p w14:paraId="4ABB662C" w:rsidR="00870DA8" w:rsidRPr="00870DA8" w:rsidRDefault="00870DA8" w:rsidP="00870DA8">
            <w:pPr>
              <w:spacing w:before="80" w:after="120"/>
              <w:jc w:val="center"/>
              <w:rPr>
                <w:rFonts w:ascii="Times New Roman" w:hAnsi="Times New Roman" w:cs="Times New Roman"/>
                <w:b/>
                <w:sz w:val="20"/>
                <w:szCs w:val="20"/>
              </w:rPr>
            </w:pPr>
            <w:r w:rsidRPr="00870DA8">
              <w:rPr>
                <w:rFonts w:ascii="Times New Roman" w:hAnsi="Times New Roman" w:cs="Times New Roman"/>
                <w:b/>
                <w:sz w:val="20"/>
                <w:szCs w:val="20"/>
              </w:rPr>
              <w:t>Source</w:t>
            </w:r>
          </w:p>
        </w:tc>
      </w:tr>
      <w:tr w14:paraId="184C9360" w:rsidR="00870DA8" w:rsidRPr="00870DA8" w:rsidTr="00870DA8">
        <w:trPr>
          <w:trHeight w:val="134"/>
        </w:trPr>
        <w:tc>
          <w:tcPr>
            <w:tcW w:w="8647" w:type="dxa"/>
            <w:gridSpan w:val="5"/>
            <w:tcBorders>
              <w:top w:val="single" w:sz="4" w:space="0" w:color="auto"/>
              <w:left w:val="single" w:sz="4" w:space="0" w:color="auto"/>
              <w:bottom w:val="nil"/>
              <w:right w:val="single" w:sz="4" w:space="0" w:color="auto"/>
            </w:tcBorders>
            <w:shd w:val="clear" w:color="auto" w:fill="C0C0C0"/>
          </w:tcPr>
          <w:p w14:paraId="28516DB7" w:rsidR="00870DA8" w:rsidRPr="00870DA8" w:rsidRDefault="00870DA8" w:rsidP="00870DA8">
            <w:pPr>
              <w:spacing w:before="40"/>
              <w:jc w:val="both"/>
              <w:rPr>
                <w:rFonts w:ascii="Times New Roman" w:hAnsi="Times New Roman" w:cs="Times New Roman"/>
                <w:sz w:val="20"/>
                <w:szCs w:val="20"/>
              </w:rPr>
            </w:pPr>
            <w:r w:rsidRPr="00870DA8">
              <w:rPr>
                <w:rFonts w:ascii="Times New Roman" w:hAnsi="Times New Roman" w:cs="Times New Roman"/>
                <w:b/>
                <w:sz w:val="20"/>
                <w:szCs w:val="20"/>
              </w:rPr>
              <w:t xml:space="preserve">Protected Area </w:t>
            </w:r>
          </w:p>
        </w:tc>
      </w:tr>
      <w:tr w14:paraId="35A0F636" w:rsidR="00870DA8" w:rsidRPr="00870DA8" w:rsidTr="00870DA8">
        <w:trPr>
          <w:trHeight w:val="133"/>
        </w:trPr>
        <w:tc>
          <w:tcPr>
            <w:tcW w:w="8647" w:type="dxa"/>
            <w:gridSpan w:val="5"/>
            <w:tcBorders>
              <w:top w:val="nil"/>
              <w:left w:val="single" w:sz="4" w:space="0" w:color="auto"/>
              <w:bottom w:val="single" w:sz="4" w:space="0" w:color="auto"/>
              <w:right w:val="single" w:sz="4" w:space="0" w:color="auto"/>
            </w:tcBorders>
            <w:shd w:val="clear" w:color="auto" w:fill="C0C0C0"/>
          </w:tcPr>
          <w:p w14:paraId="64BFA346" w:rsidR="00870DA8" w:rsidRPr="00870DA8" w:rsidRDefault="00870DA8" w:rsidP="00870DA8">
            <w:pPr>
              <w:spacing w:after="40"/>
              <w:jc w:val="both"/>
              <w:rPr>
                <w:rFonts w:ascii="Times New Roman" w:hAnsi="Times New Roman" w:cs="Times New Roman"/>
                <w:b/>
                <w:sz w:val="20"/>
                <w:szCs w:val="20"/>
              </w:rPr>
            </w:pPr>
            <w:r w:rsidRPr="00870DA8">
              <w:rPr>
                <w:rFonts w:ascii="Times New Roman" w:hAnsi="Times New Roman" w:cs="Times New Roman"/>
                <w:sz w:val="20"/>
                <w:szCs w:val="20"/>
              </w:rPr>
              <w:t>legally designated/established, approved management plan, actively managed</w:t>
            </w:r>
          </w:p>
        </w:tc>
      </w:tr>
      <w:tr w14:paraId="12B6991B" w:rsidR="00870DA8" w:rsidRPr="00870DA8" w:rsidTr="00870DA8">
        <w:trPr>
          <w:trHeight w:val="233"/>
        </w:trPr>
        <w:tc>
          <w:tcPr>
            <w:tcW w:w="4252" w:type="dxa"/>
            <w:tcBorders>
              <w:top w:val="single" w:sz="4" w:space="0" w:color="auto"/>
              <w:left w:val="single" w:sz="4" w:space="0" w:color="auto"/>
              <w:bottom w:val="nil"/>
              <w:right w:val="single" w:sz="4" w:space="0" w:color="auto"/>
            </w:tcBorders>
            <w:vAlign w:val="center"/>
          </w:tcPr>
          <w:p w14:paraId="69349C28"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Perseverance Protected Area</w:t>
            </w:r>
            <w:r w:rsidRPr="00870DA8">
              <w:rPr>
                <w:rFonts w:ascii="Times New Roman" w:hAnsi="Times New Roman" w:cs="Times New Roman"/>
                <w:sz w:val="20"/>
                <w:szCs w:val="20"/>
                <w:vertAlign w:val="superscript"/>
              </w:rPr>
              <w:t xml:space="preserve">1  </w:t>
            </w:r>
          </w:p>
        </w:tc>
        <w:tc>
          <w:tcPr>
            <w:tcW w:w="709" w:type="dxa"/>
            <w:tcBorders>
              <w:top w:val="single" w:sz="4" w:space="0" w:color="auto"/>
              <w:left w:val="single" w:sz="4" w:space="0" w:color="auto"/>
              <w:bottom w:val="nil"/>
              <w:right w:val="single" w:sz="4" w:space="0" w:color="auto"/>
            </w:tcBorders>
          </w:tcPr>
          <w:p w14:paraId="2A9E7E20"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113</w:t>
            </w:r>
          </w:p>
        </w:tc>
        <w:tc>
          <w:tcPr>
            <w:tcW w:w="709" w:type="dxa"/>
            <w:tcBorders>
              <w:top w:val="single" w:sz="4" w:space="0" w:color="auto"/>
              <w:left w:val="single" w:sz="4" w:space="0" w:color="auto"/>
              <w:bottom w:val="nil"/>
              <w:right w:val="single" w:sz="4" w:space="0" w:color="auto"/>
            </w:tcBorders>
          </w:tcPr>
          <w:p w14:paraId="3312EFFB"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single" w:sz="4" w:space="0" w:color="auto"/>
              <w:left w:val="single" w:sz="4" w:space="0" w:color="auto"/>
              <w:bottom w:val="nil"/>
              <w:right w:val="single" w:sz="4" w:space="0" w:color="auto"/>
            </w:tcBorders>
            <w:vAlign w:val="center"/>
          </w:tcPr>
          <w:p w14:paraId="649858D4"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113</w:t>
            </w:r>
          </w:p>
        </w:tc>
        <w:tc>
          <w:tcPr>
            <w:tcW w:w="1843" w:type="dxa"/>
            <w:tcBorders>
              <w:top w:val="single" w:sz="4" w:space="0" w:color="auto"/>
              <w:left w:val="single" w:sz="4" w:space="0" w:color="auto"/>
              <w:bottom w:val="nil"/>
              <w:right w:val="single" w:sz="4" w:space="0" w:color="auto"/>
            </w:tcBorders>
            <w:vAlign w:val="center"/>
          </w:tcPr>
          <w:p w14:paraId="2563CEB3"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 xml:space="preserve">Management plan </w:t>
            </w:r>
          </w:p>
        </w:tc>
      </w:tr>
      <w:tr w14:paraId="6EF83DB7" w:rsidR="00870DA8" w:rsidRPr="00870DA8" w:rsidTr="00870DA8">
        <w:trPr>
          <w:trHeight w:val="169"/>
        </w:trPr>
        <w:tc>
          <w:tcPr>
            <w:tcW w:w="4252" w:type="dxa"/>
            <w:tcBorders>
              <w:top w:val="nil"/>
              <w:left w:val="single" w:sz="4" w:space="0" w:color="auto"/>
              <w:bottom w:val="nil"/>
              <w:right w:val="single" w:sz="4" w:space="0" w:color="auto"/>
            </w:tcBorders>
          </w:tcPr>
          <w:p w14:paraId="1A6E1A65"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Grand Etang Forest Reserve</w:t>
            </w:r>
          </w:p>
        </w:tc>
        <w:tc>
          <w:tcPr>
            <w:tcW w:w="709" w:type="dxa"/>
            <w:tcBorders>
              <w:top w:val="nil"/>
              <w:left w:val="single" w:sz="4" w:space="0" w:color="auto"/>
              <w:bottom w:val="nil"/>
              <w:right w:val="single" w:sz="4" w:space="0" w:color="auto"/>
            </w:tcBorders>
          </w:tcPr>
          <w:p w14:paraId="4A087AFA" w:rsidR="00870DA8" w:rsidRPr="00870DA8" w:rsidRDefault="00870DA8" w:rsidP="00870DA8">
            <w:pPr>
              <w:ind w:left="-108"/>
              <w:rPr>
                <w:rFonts w:ascii="Times New Roman" w:hAnsi="Times New Roman" w:cs="Times New Roman"/>
                <w:sz w:val="20"/>
                <w:szCs w:val="20"/>
              </w:rPr>
            </w:pPr>
            <w:r w:rsidRPr="00870DA8">
              <w:rPr>
                <w:rFonts w:ascii="Times New Roman" w:hAnsi="Times New Roman" w:cs="Times New Roman"/>
                <w:sz w:val="20"/>
                <w:szCs w:val="20"/>
              </w:rPr>
              <w:t>~1600</w:t>
            </w:r>
          </w:p>
        </w:tc>
        <w:tc>
          <w:tcPr>
            <w:tcW w:w="709" w:type="dxa"/>
            <w:tcBorders>
              <w:top w:val="nil"/>
              <w:left w:val="single" w:sz="4" w:space="0" w:color="auto"/>
              <w:bottom w:val="nil"/>
              <w:right w:val="single" w:sz="4" w:space="0" w:color="auto"/>
            </w:tcBorders>
          </w:tcPr>
          <w:p w14:paraId="4D3F51EC"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vAlign w:val="center"/>
          </w:tcPr>
          <w:p w14:paraId="66670466"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~1600</w:t>
            </w:r>
          </w:p>
        </w:tc>
        <w:tc>
          <w:tcPr>
            <w:tcW w:w="1843" w:type="dxa"/>
            <w:tcBorders>
              <w:top w:val="nil"/>
              <w:left w:val="single" w:sz="4" w:space="0" w:color="auto"/>
              <w:bottom w:val="nil"/>
              <w:right w:val="single" w:sz="4" w:space="0" w:color="auto"/>
            </w:tcBorders>
            <w:vAlign w:val="center"/>
          </w:tcPr>
          <w:p w14:paraId="74EA7133"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4A462981" w:rsidR="00870DA8" w:rsidRPr="00870DA8" w:rsidTr="00870DA8">
        <w:tc>
          <w:tcPr>
            <w:tcW w:w="4252" w:type="dxa"/>
            <w:tcBorders>
              <w:top w:val="nil"/>
              <w:left w:val="single" w:sz="4" w:space="0" w:color="auto"/>
              <w:bottom w:val="nil"/>
              <w:right w:val="single" w:sz="4" w:space="0" w:color="auto"/>
            </w:tcBorders>
            <w:vAlign w:val="center"/>
          </w:tcPr>
          <w:p w14:paraId="27B733FA"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Annandale Forest Reserve</w:t>
            </w:r>
          </w:p>
        </w:tc>
        <w:tc>
          <w:tcPr>
            <w:tcW w:w="709" w:type="dxa"/>
            <w:tcBorders>
              <w:top w:val="nil"/>
              <w:left w:val="single" w:sz="4" w:space="0" w:color="auto"/>
              <w:bottom w:val="nil"/>
              <w:right w:val="single" w:sz="4" w:space="0" w:color="auto"/>
            </w:tcBorders>
          </w:tcPr>
          <w:p w14:paraId="2D7B9BF4"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236</w:t>
            </w:r>
          </w:p>
        </w:tc>
        <w:tc>
          <w:tcPr>
            <w:tcW w:w="709" w:type="dxa"/>
            <w:tcBorders>
              <w:top w:val="nil"/>
              <w:left w:val="single" w:sz="4" w:space="0" w:color="auto"/>
              <w:bottom w:val="nil"/>
              <w:right w:val="single" w:sz="4" w:space="0" w:color="auto"/>
            </w:tcBorders>
          </w:tcPr>
          <w:p w14:paraId="3913CEE3"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vAlign w:val="center"/>
          </w:tcPr>
          <w:p w14:paraId="11451C53"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236</w:t>
            </w:r>
          </w:p>
        </w:tc>
        <w:tc>
          <w:tcPr>
            <w:tcW w:w="1843" w:type="dxa"/>
            <w:tcBorders>
              <w:top w:val="nil"/>
              <w:left w:val="single" w:sz="4" w:space="0" w:color="auto"/>
              <w:bottom w:val="nil"/>
              <w:right w:val="single" w:sz="4" w:space="0" w:color="auto"/>
            </w:tcBorders>
            <w:vAlign w:val="center"/>
          </w:tcPr>
          <w:p w14:paraId="0870B673"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3EF5172E" w:rsidR="00870DA8" w:rsidRPr="00870DA8" w:rsidTr="00870DA8">
        <w:tc>
          <w:tcPr>
            <w:tcW w:w="4252" w:type="dxa"/>
            <w:tcBorders>
              <w:top w:val="nil"/>
              <w:left w:val="single" w:sz="4" w:space="0" w:color="auto"/>
              <w:bottom w:val="nil"/>
              <w:right w:val="single" w:sz="4" w:space="0" w:color="auto"/>
            </w:tcBorders>
            <w:vAlign w:val="center"/>
          </w:tcPr>
          <w:p w14:paraId="757156FA"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High North Forest Reserve </w:t>
            </w:r>
          </w:p>
        </w:tc>
        <w:tc>
          <w:tcPr>
            <w:tcW w:w="709" w:type="dxa"/>
            <w:tcBorders>
              <w:top w:val="nil"/>
              <w:left w:val="single" w:sz="4" w:space="0" w:color="auto"/>
              <w:bottom w:val="nil"/>
              <w:right w:val="single" w:sz="4" w:space="0" w:color="auto"/>
            </w:tcBorders>
          </w:tcPr>
          <w:p w14:paraId="68433C8F"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52</w:t>
            </w:r>
          </w:p>
        </w:tc>
        <w:tc>
          <w:tcPr>
            <w:tcW w:w="709" w:type="dxa"/>
            <w:tcBorders>
              <w:top w:val="nil"/>
              <w:left w:val="single" w:sz="4" w:space="0" w:color="auto"/>
              <w:bottom w:val="nil"/>
              <w:right w:val="single" w:sz="4" w:space="0" w:color="auto"/>
            </w:tcBorders>
          </w:tcPr>
          <w:p w14:paraId="6DF226D5"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vAlign w:val="center"/>
          </w:tcPr>
          <w:p w14:paraId="441FEE66"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52</w:t>
            </w:r>
          </w:p>
        </w:tc>
        <w:tc>
          <w:tcPr>
            <w:tcW w:w="1843" w:type="dxa"/>
            <w:tcBorders>
              <w:top w:val="nil"/>
              <w:left w:val="single" w:sz="4" w:space="0" w:color="auto"/>
              <w:bottom w:val="nil"/>
              <w:right w:val="single" w:sz="4" w:space="0" w:color="auto"/>
            </w:tcBorders>
            <w:vAlign w:val="center"/>
          </w:tcPr>
          <w:p w14:paraId="40649BC7"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p>
        </w:tc>
      </w:tr>
      <w:tr w14:paraId="7D7111A5" w:rsidR="00870DA8" w:rsidRPr="00870DA8" w:rsidTr="00870DA8">
        <w:tc>
          <w:tcPr>
            <w:tcW w:w="4252" w:type="dxa"/>
            <w:tcBorders>
              <w:top w:val="nil"/>
              <w:left w:val="single" w:sz="4" w:space="0" w:color="auto"/>
              <w:bottom w:val="nil"/>
              <w:right w:val="single" w:sz="4" w:space="0" w:color="auto"/>
            </w:tcBorders>
            <w:vAlign w:val="center"/>
          </w:tcPr>
          <w:p w14:paraId="20570CD6"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Moliniere-Beausejour  Marine Protected Area</w:t>
            </w:r>
          </w:p>
        </w:tc>
        <w:tc>
          <w:tcPr>
            <w:tcW w:w="709" w:type="dxa"/>
            <w:tcBorders>
              <w:top w:val="nil"/>
              <w:left w:val="single" w:sz="4" w:space="0" w:color="auto"/>
              <w:bottom w:val="nil"/>
              <w:right w:val="single" w:sz="4" w:space="0" w:color="auto"/>
            </w:tcBorders>
          </w:tcPr>
          <w:p w14:paraId="528A8532"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709" w:type="dxa"/>
            <w:tcBorders>
              <w:top w:val="nil"/>
              <w:left w:val="single" w:sz="4" w:space="0" w:color="auto"/>
              <w:bottom w:val="nil"/>
              <w:right w:val="single" w:sz="4" w:space="0" w:color="auto"/>
            </w:tcBorders>
          </w:tcPr>
          <w:p w14:paraId="5BC559CE"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60</w:t>
            </w:r>
          </w:p>
        </w:tc>
        <w:tc>
          <w:tcPr>
            <w:tcW w:w="1134" w:type="dxa"/>
            <w:tcBorders>
              <w:top w:val="nil"/>
              <w:left w:val="single" w:sz="4" w:space="0" w:color="auto"/>
              <w:bottom w:val="nil"/>
              <w:right w:val="single" w:sz="4" w:space="0" w:color="auto"/>
            </w:tcBorders>
            <w:vAlign w:val="center"/>
          </w:tcPr>
          <w:p w14:paraId="203ABC9F"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60</w:t>
            </w:r>
          </w:p>
        </w:tc>
        <w:tc>
          <w:tcPr>
            <w:tcW w:w="1843" w:type="dxa"/>
            <w:tcBorders>
              <w:top w:val="nil"/>
              <w:left w:val="single" w:sz="4" w:space="0" w:color="auto"/>
              <w:bottom w:val="nil"/>
              <w:right w:val="single" w:sz="4" w:space="0" w:color="auto"/>
            </w:tcBorders>
            <w:vAlign w:val="center"/>
          </w:tcPr>
          <w:p w14:paraId="30DAF8B4"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120724B2" w:rsidR="00870DA8" w:rsidRPr="00870DA8" w:rsidTr="00870DA8">
        <w:tc>
          <w:tcPr>
            <w:tcW w:w="4252" w:type="dxa"/>
            <w:tcBorders>
              <w:top w:val="nil"/>
              <w:left w:val="single" w:sz="4" w:space="0" w:color="auto"/>
              <w:bottom w:val="nil"/>
              <w:right w:val="single" w:sz="4" w:space="0" w:color="auto"/>
            </w:tcBorders>
            <w:vAlign w:val="center"/>
          </w:tcPr>
          <w:p w14:paraId="5CCA9C2A"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Woburn Clarks Court Bay Marine Protected Area</w:t>
            </w:r>
          </w:p>
        </w:tc>
        <w:tc>
          <w:tcPr>
            <w:tcW w:w="709" w:type="dxa"/>
            <w:tcBorders>
              <w:top w:val="nil"/>
              <w:left w:val="single" w:sz="4" w:space="0" w:color="auto"/>
              <w:bottom w:val="nil"/>
              <w:right w:val="single" w:sz="4" w:space="0" w:color="auto"/>
            </w:tcBorders>
          </w:tcPr>
          <w:p w14:paraId="6BDDB828"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w:t>
            </w:r>
          </w:p>
        </w:tc>
        <w:tc>
          <w:tcPr>
            <w:tcW w:w="709" w:type="dxa"/>
            <w:tcBorders>
              <w:top w:val="nil"/>
              <w:left w:val="single" w:sz="4" w:space="0" w:color="auto"/>
              <w:bottom w:val="nil"/>
              <w:right w:val="single" w:sz="4" w:space="0" w:color="auto"/>
            </w:tcBorders>
          </w:tcPr>
          <w:p w14:paraId="5AD01F57"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438</w:t>
            </w:r>
          </w:p>
        </w:tc>
        <w:tc>
          <w:tcPr>
            <w:tcW w:w="1134" w:type="dxa"/>
            <w:tcBorders>
              <w:top w:val="nil"/>
              <w:left w:val="single" w:sz="4" w:space="0" w:color="auto"/>
              <w:bottom w:val="nil"/>
              <w:right w:val="single" w:sz="4" w:space="0" w:color="auto"/>
            </w:tcBorders>
            <w:vAlign w:val="center"/>
          </w:tcPr>
          <w:p w14:paraId="09AD847F"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438</w:t>
            </w:r>
            <w:r w:rsidRPr="00870DA8">
              <w:rPr>
                <w:rFonts w:ascii="Times New Roman" w:hAnsi="Times New Roman" w:cs="Times New Roman"/>
                <w:sz w:val="20"/>
                <w:szCs w:val="20"/>
                <w:vertAlign w:val="superscript"/>
              </w:rPr>
              <w:t>4</w:t>
            </w:r>
          </w:p>
        </w:tc>
        <w:tc>
          <w:tcPr>
            <w:tcW w:w="1843" w:type="dxa"/>
            <w:tcBorders>
              <w:top w:val="nil"/>
              <w:left w:val="single" w:sz="4" w:space="0" w:color="auto"/>
              <w:bottom w:val="nil"/>
              <w:right w:val="single" w:sz="4" w:space="0" w:color="auto"/>
            </w:tcBorders>
            <w:vAlign w:val="center"/>
          </w:tcPr>
          <w:p w14:paraId="450C6265"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5B851B64" w:rsidR="00870DA8" w:rsidRPr="00870DA8" w:rsidTr="00870DA8">
        <w:tc>
          <w:tcPr>
            <w:tcW w:w="4252" w:type="dxa"/>
            <w:tcBorders>
              <w:top w:val="nil"/>
              <w:left w:val="single" w:sz="4" w:space="0" w:color="auto"/>
              <w:bottom w:val="single" w:sz="4" w:space="0" w:color="auto"/>
              <w:right w:val="single" w:sz="4" w:space="0" w:color="auto"/>
            </w:tcBorders>
            <w:vAlign w:val="center"/>
          </w:tcPr>
          <w:p w14:paraId="02FABC4C"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Pearls</w:t>
            </w:r>
          </w:p>
        </w:tc>
        <w:tc>
          <w:tcPr>
            <w:tcW w:w="709" w:type="dxa"/>
            <w:tcBorders>
              <w:top w:val="nil"/>
              <w:left w:val="single" w:sz="4" w:space="0" w:color="auto"/>
              <w:bottom w:val="single" w:sz="4" w:space="0" w:color="auto"/>
              <w:right w:val="single" w:sz="4" w:space="0" w:color="auto"/>
            </w:tcBorders>
            <w:vAlign w:val="center"/>
          </w:tcPr>
          <w:p w14:paraId="749CDEDF"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w:t>
            </w:r>
          </w:p>
        </w:tc>
        <w:tc>
          <w:tcPr>
            <w:tcW w:w="709" w:type="dxa"/>
            <w:tcBorders>
              <w:top w:val="nil"/>
              <w:left w:val="single" w:sz="4" w:space="0" w:color="auto"/>
              <w:bottom w:val="single" w:sz="4" w:space="0" w:color="auto"/>
              <w:right w:val="single" w:sz="4" w:space="0" w:color="auto"/>
            </w:tcBorders>
            <w:vAlign w:val="center"/>
          </w:tcPr>
          <w:p w14:paraId="27A2BE50"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single" w:sz="4" w:space="0" w:color="auto"/>
              <w:right w:val="single" w:sz="4" w:space="0" w:color="auto"/>
            </w:tcBorders>
            <w:vAlign w:val="center"/>
          </w:tcPr>
          <w:p w14:paraId="7744765F" w:rsidR="00870DA8" w:rsidRPr="00870DA8" w:rsidRDefault="00870DA8" w:rsidP="00870DA8">
            <w:pPr>
              <w:jc w:val="center"/>
              <w:rPr>
                <w:rFonts w:ascii="Times New Roman" w:hAnsi="Times New Roman" w:cs="Times New Roman"/>
                <w:sz w:val="20"/>
                <w:szCs w:val="20"/>
              </w:rPr>
            </w:pPr>
            <w:r>
              <w:rPr>
                <w:rFonts w:ascii="Times New Roman" w:hAnsi="Times New Roman" w:cs="Times New Roman"/>
                <w:sz w:val="20"/>
                <w:szCs w:val="20"/>
              </w:rPr>
              <w:t>TBD</w:t>
            </w:r>
          </w:p>
        </w:tc>
        <w:tc>
          <w:tcPr>
            <w:tcW w:w="1843" w:type="dxa"/>
            <w:tcBorders>
              <w:top w:val="nil"/>
              <w:left w:val="single" w:sz="4" w:space="0" w:color="auto"/>
              <w:bottom w:val="single" w:sz="4" w:space="0" w:color="auto"/>
              <w:right w:val="single" w:sz="4" w:space="0" w:color="auto"/>
            </w:tcBorders>
            <w:vAlign w:val="center"/>
          </w:tcPr>
          <w:p w14:paraId="4C72B467"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p>
        </w:tc>
      </w:tr>
      <w:tr w14:paraId="39F6227D" w:rsidR="00870DA8" w:rsidRPr="00870DA8" w:rsidTr="00870DA8">
        <w:trPr>
          <w:trHeight w:val="207"/>
        </w:trPr>
        <w:tc>
          <w:tcPr>
            <w:tcW w:w="8647" w:type="dxa"/>
            <w:gridSpan w:val="5"/>
            <w:tcBorders>
              <w:top w:val="single" w:sz="4" w:space="0" w:color="auto"/>
              <w:left w:val="single" w:sz="4" w:space="0" w:color="auto"/>
              <w:bottom w:val="nil"/>
              <w:right w:val="single" w:sz="4" w:space="0" w:color="auto"/>
            </w:tcBorders>
            <w:shd w:val="clear" w:color="auto" w:fill="C0C0C0"/>
          </w:tcPr>
          <w:p w14:paraId="74645F98" w:rsidR="00870DA8" w:rsidRPr="00870DA8" w:rsidRDefault="00870DA8" w:rsidP="00870DA8">
            <w:pPr>
              <w:spacing w:before="40"/>
              <w:jc w:val="both"/>
              <w:rPr>
                <w:rFonts w:ascii="Times New Roman" w:hAnsi="Times New Roman" w:cs="Times New Roman"/>
                <w:b/>
                <w:sz w:val="20"/>
                <w:szCs w:val="20"/>
              </w:rPr>
            </w:pPr>
            <w:r w:rsidRPr="00870DA8">
              <w:rPr>
                <w:rFonts w:ascii="Times New Roman" w:hAnsi="Times New Roman" w:cs="Times New Roman"/>
                <w:b/>
                <w:sz w:val="20"/>
                <w:szCs w:val="20"/>
              </w:rPr>
              <w:t xml:space="preserve">Proposed/pending designation </w:t>
            </w:r>
          </w:p>
        </w:tc>
      </w:tr>
      <w:tr w14:paraId="3CE3A78F" w:rsidR="00870DA8" w:rsidRPr="00870DA8" w:rsidTr="00870DA8">
        <w:trPr>
          <w:trHeight w:val="206"/>
        </w:trPr>
        <w:tc>
          <w:tcPr>
            <w:tcW w:w="8647" w:type="dxa"/>
            <w:gridSpan w:val="5"/>
            <w:tcBorders>
              <w:top w:val="nil"/>
              <w:left w:val="single" w:sz="4" w:space="0" w:color="auto"/>
              <w:bottom w:val="single" w:sz="4" w:space="0" w:color="auto"/>
              <w:right w:val="single" w:sz="4" w:space="0" w:color="auto"/>
            </w:tcBorders>
            <w:shd w:val="clear" w:color="auto" w:fill="C0C0C0"/>
          </w:tcPr>
          <w:p w14:paraId="283914CA" w:rsidR="00870DA8" w:rsidRPr="00870DA8" w:rsidRDefault="00870DA8" w:rsidP="00870DA8">
            <w:pPr>
              <w:spacing w:after="40"/>
              <w:jc w:val="both"/>
              <w:rPr>
                <w:rFonts w:ascii="Times New Roman" w:hAnsi="Times New Roman" w:cs="Times New Roman"/>
                <w:b/>
                <w:sz w:val="20"/>
                <w:szCs w:val="20"/>
              </w:rPr>
            </w:pPr>
            <w:r w:rsidRPr="00870DA8">
              <w:rPr>
                <w:rFonts w:ascii="Times New Roman" w:hAnsi="Times New Roman" w:cs="Times New Roman"/>
                <w:sz w:val="20"/>
                <w:szCs w:val="20"/>
              </w:rPr>
              <w:t>active initiatives, draft management plan, in parliamentary process</w:t>
            </w:r>
          </w:p>
        </w:tc>
      </w:tr>
      <w:tr w14:paraId="61E782AD" w:rsidR="00870DA8" w:rsidRPr="00870DA8" w:rsidTr="00870DA8">
        <w:tc>
          <w:tcPr>
            <w:tcW w:w="4252" w:type="dxa"/>
            <w:tcBorders>
              <w:top w:val="single" w:sz="4" w:space="0" w:color="auto"/>
              <w:left w:val="single" w:sz="4" w:space="0" w:color="auto"/>
              <w:bottom w:val="nil"/>
              <w:right w:val="single" w:sz="4" w:space="0" w:color="auto"/>
            </w:tcBorders>
          </w:tcPr>
          <w:p w14:paraId="5A952080"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Beausejour Protected Area</w:t>
            </w:r>
          </w:p>
        </w:tc>
        <w:tc>
          <w:tcPr>
            <w:tcW w:w="709" w:type="dxa"/>
            <w:tcBorders>
              <w:top w:val="single" w:sz="4" w:space="0" w:color="auto"/>
              <w:left w:val="single" w:sz="4" w:space="0" w:color="auto"/>
              <w:bottom w:val="nil"/>
              <w:right w:val="single" w:sz="4" w:space="0" w:color="auto"/>
            </w:tcBorders>
          </w:tcPr>
          <w:p w14:paraId="2E741280"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60</w:t>
            </w:r>
          </w:p>
        </w:tc>
        <w:tc>
          <w:tcPr>
            <w:tcW w:w="709" w:type="dxa"/>
            <w:tcBorders>
              <w:top w:val="single" w:sz="4" w:space="0" w:color="auto"/>
              <w:left w:val="single" w:sz="4" w:space="0" w:color="auto"/>
              <w:bottom w:val="nil"/>
              <w:right w:val="single" w:sz="4" w:space="0" w:color="auto"/>
            </w:tcBorders>
          </w:tcPr>
          <w:p w14:paraId="47817D2F"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single" w:sz="4" w:space="0" w:color="auto"/>
              <w:left w:val="single" w:sz="4" w:space="0" w:color="auto"/>
              <w:bottom w:val="nil"/>
              <w:right w:val="single" w:sz="4" w:space="0" w:color="auto"/>
            </w:tcBorders>
          </w:tcPr>
          <w:p w14:paraId="397649D9"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60</w:t>
            </w:r>
          </w:p>
        </w:tc>
        <w:tc>
          <w:tcPr>
            <w:tcW w:w="1843" w:type="dxa"/>
            <w:tcBorders>
              <w:top w:val="single" w:sz="4" w:space="0" w:color="auto"/>
              <w:left w:val="single" w:sz="4" w:space="0" w:color="auto"/>
              <w:bottom w:val="nil"/>
              <w:right w:val="single" w:sz="4" w:space="0" w:color="auto"/>
            </w:tcBorders>
          </w:tcPr>
          <w:p w14:paraId="0FDBDCED"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695C5688" w:rsidR="00870DA8" w:rsidRPr="00870DA8" w:rsidTr="00870DA8">
        <w:tc>
          <w:tcPr>
            <w:tcW w:w="4252" w:type="dxa"/>
            <w:tcBorders>
              <w:top w:val="nil"/>
              <w:left w:val="single" w:sz="4" w:space="0" w:color="auto"/>
              <w:bottom w:val="nil"/>
              <w:right w:val="single" w:sz="4" w:space="0" w:color="auto"/>
            </w:tcBorders>
            <w:vAlign w:val="center"/>
          </w:tcPr>
          <w:p w14:paraId="402F9F3B"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Sandy Island/Oyster Bed Marine Protected Area</w:t>
            </w:r>
          </w:p>
        </w:tc>
        <w:tc>
          <w:tcPr>
            <w:tcW w:w="709" w:type="dxa"/>
            <w:tcBorders>
              <w:top w:val="nil"/>
              <w:left w:val="single" w:sz="4" w:space="0" w:color="auto"/>
              <w:bottom w:val="nil"/>
              <w:right w:val="single" w:sz="4" w:space="0" w:color="auto"/>
            </w:tcBorders>
          </w:tcPr>
          <w:p w14:paraId="7C7C66B6"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 xml:space="preserve"> 50</w:t>
            </w:r>
            <w:r w:rsidRPr="00870DA8">
              <w:rPr>
                <w:rFonts w:ascii="Times New Roman" w:hAnsi="Times New Roman" w:cs="Times New Roman"/>
                <w:sz w:val="20"/>
                <w:szCs w:val="20"/>
                <w:vertAlign w:val="superscript"/>
              </w:rPr>
              <w:t>3</w:t>
            </w:r>
          </w:p>
        </w:tc>
        <w:tc>
          <w:tcPr>
            <w:tcW w:w="709" w:type="dxa"/>
            <w:tcBorders>
              <w:top w:val="nil"/>
              <w:left w:val="single" w:sz="4" w:space="0" w:color="auto"/>
              <w:bottom w:val="nil"/>
              <w:right w:val="single" w:sz="4" w:space="0" w:color="auto"/>
            </w:tcBorders>
          </w:tcPr>
          <w:p w14:paraId="24C47245"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737</w:t>
            </w:r>
          </w:p>
        </w:tc>
        <w:tc>
          <w:tcPr>
            <w:tcW w:w="1134" w:type="dxa"/>
            <w:tcBorders>
              <w:top w:val="nil"/>
              <w:left w:val="single" w:sz="4" w:space="0" w:color="auto"/>
              <w:bottom w:val="nil"/>
              <w:right w:val="single" w:sz="4" w:space="0" w:color="auto"/>
            </w:tcBorders>
            <w:vAlign w:val="center"/>
          </w:tcPr>
          <w:p w14:paraId="2514ADC2"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787</w:t>
            </w:r>
          </w:p>
        </w:tc>
        <w:tc>
          <w:tcPr>
            <w:tcW w:w="1843" w:type="dxa"/>
            <w:tcBorders>
              <w:top w:val="nil"/>
              <w:left w:val="single" w:sz="4" w:space="0" w:color="auto"/>
              <w:bottom w:val="nil"/>
              <w:right w:val="single" w:sz="4" w:space="0" w:color="auto"/>
            </w:tcBorders>
            <w:vAlign w:val="center"/>
          </w:tcPr>
          <w:p w14:paraId="6A39E258"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35A1DE55" w:rsidR="00870DA8" w:rsidRPr="00870DA8" w:rsidTr="00870DA8">
        <w:tc>
          <w:tcPr>
            <w:tcW w:w="4252" w:type="dxa"/>
            <w:tcBorders>
              <w:top w:val="nil"/>
              <w:left w:val="single" w:sz="4" w:space="0" w:color="auto"/>
              <w:bottom w:val="nil"/>
              <w:right w:val="single" w:sz="4" w:space="0" w:color="auto"/>
            </w:tcBorders>
          </w:tcPr>
          <w:p w14:paraId="44414BFE"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Mt. Hartman National Park and Protected Area</w:t>
            </w:r>
            <w:r w:rsidRPr="00870DA8">
              <w:rPr>
                <w:rFonts w:ascii="Times New Roman" w:hAnsi="Times New Roman" w:cs="Times New Roman"/>
                <w:sz w:val="20"/>
                <w:szCs w:val="20"/>
                <w:vertAlign w:val="superscript"/>
              </w:rPr>
              <w:t>5</w:t>
            </w:r>
          </w:p>
        </w:tc>
        <w:tc>
          <w:tcPr>
            <w:tcW w:w="709" w:type="dxa"/>
            <w:tcBorders>
              <w:top w:val="nil"/>
              <w:left w:val="single" w:sz="4" w:space="0" w:color="auto"/>
              <w:bottom w:val="nil"/>
              <w:right w:val="single" w:sz="4" w:space="0" w:color="auto"/>
            </w:tcBorders>
          </w:tcPr>
          <w:p w14:paraId="52D94980"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62</w:t>
            </w:r>
          </w:p>
        </w:tc>
        <w:tc>
          <w:tcPr>
            <w:tcW w:w="709" w:type="dxa"/>
            <w:tcBorders>
              <w:top w:val="nil"/>
              <w:left w:val="single" w:sz="4" w:space="0" w:color="auto"/>
              <w:bottom w:val="nil"/>
              <w:right w:val="single" w:sz="4" w:space="0" w:color="auto"/>
            </w:tcBorders>
          </w:tcPr>
          <w:p w14:paraId="1332E3E9"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tcPr>
          <w:p w14:paraId="7A335DC5"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62</w:t>
            </w:r>
          </w:p>
        </w:tc>
        <w:tc>
          <w:tcPr>
            <w:tcW w:w="1843" w:type="dxa"/>
            <w:tcBorders>
              <w:top w:val="nil"/>
              <w:left w:val="single" w:sz="4" w:space="0" w:color="auto"/>
              <w:bottom w:val="nil"/>
              <w:right w:val="single" w:sz="4" w:space="0" w:color="auto"/>
            </w:tcBorders>
          </w:tcPr>
          <w:p w14:paraId="192D8246"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3B382D3A" w:rsidR="00870DA8" w:rsidRPr="00870DA8" w:rsidTr="00870DA8">
        <w:tc>
          <w:tcPr>
            <w:tcW w:w="4252" w:type="dxa"/>
            <w:tcBorders>
              <w:top w:val="nil"/>
              <w:left w:val="single" w:sz="4" w:space="0" w:color="auto"/>
              <w:bottom w:val="single" w:sz="4" w:space="0" w:color="auto"/>
              <w:right w:val="single" w:sz="4" w:space="0" w:color="auto"/>
            </w:tcBorders>
          </w:tcPr>
          <w:p w14:paraId="099C683C"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Levera Pond Protected Area</w:t>
            </w:r>
          </w:p>
        </w:tc>
        <w:tc>
          <w:tcPr>
            <w:tcW w:w="709" w:type="dxa"/>
            <w:tcBorders>
              <w:top w:val="nil"/>
              <w:left w:val="single" w:sz="4" w:space="0" w:color="auto"/>
              <w:bottom w:val="single" w:sz="4" w:space="0" w:color="auto"/>
              <w:right w:val="single" w:sz="4" w:space="0" w:color="auto"/>
            </w:tcBorders>
          </w:tcPr>
          <w:p w14:paraId="090CB90B"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65</w:t>
            </w:r>
          </w:p>
        </w:tc>
        <w:tc>
          <w:tcPr>
            <w:tcW w:w="709" w:type="dxa"/>
            <w:tcBorders>
              <w:top w:val="nil"/>
              <w:left w:val="single" w:sz="4" w:space="0" w:color="auto"/>
              <w:bottom w:val="single" w:sz="4" w:space="0" w:color="auto"/>
              <w:right w:val="single" w:sz="4" w:space="0" w:color="auto"/>
            </w:tcBorders>
          </w:tcPr>
          <w:p w14:paraId="6F760A29"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15</w:t>
            </w:r>
          </w:p>
        </w:tc>
        <w:tc>
          <w:tcPr>
            <w:tcW w:w="1134" w:type="dxa"/>
            <w:tcBorders>
              <w:top w:val="nil"/>
              <w:left w:val="single" w:sz="4" w:space="0" w:color="auto"/>
              <w:bottom w:val="single" w:sz="4" w:space="0" w:color="auto"/>
              <w:right w:val="single" w:sz="4" w:space="0" w:color="auto"/>
            </w:tcBorders>
          </w:tcPr>
          <w:p w14:paraId="1E09AF7B"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80</w:t>
            </w:r>
            <w:r w:rsidRPr="00870DA8">
              <w:rPr>
                <w:rFonts w:ascii="Times New Roman" w:hAnsi="Times New Roman" w:cs="Times New Roman"/>
                <w:sz w:val="20"/>
                <w:szCs w:val="20"/>
                <w:vertAlign w:val="superscript"/>
              </w:rPr>
              <w:t>6</w:t>
            </w:r>
          </w:p>
        </w:tc>
        <w:tc>
          <w:tcPr>
            <w:tcW w:w="1843" w:type="dxa"/>
            <w:tcBorders>
              <w:top w:val="nil"/>
              <w:left w:val="single" w:sz="4" w:space="0" w:color="auto"/>
              <w:bottom w:val="single" w:sz="4" w:space="0" w:color="auto"/>
              <w:right w:val="single" w:sz="4" w:space="0" w:color="auto"/>
            </w:tcBorders>
          </w:tcPr>
          <w:p w14:paraId="686F398E"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Management Plan</w:t>
            </w:r>
          </w:p>
        </w:tc>
      </w:tr>
      <w:tr w14:paraId="5D8EB37E" w:rsidR="00870DA8" w:rsidRPr="00870DA8" w:rsidTr="00870DA8">
        <w:trPr>
          <w:trHeight w:val="207"/>
        </w:trPr>
        <w:tc>
          <w:tcPr>
            <w:tcW w:w="8647" w:type="dxa"/>
            <w:gridSpan w:val="5"/>
            <w:tcBorders>
              <w:top w:val="single" w:sz="4" w:space="0" w:color="auto"/>
              <w:left w:val="single" w:sz="4" w:space="0" w:color="auto"/>
              <w:bottom w:val="nil"/>
              <w:right w:val="single" w:sz="4" w:space="0" w:color="auto"/>
            </w:tcBorders>
            <w:shd w:val="clear" w:color="auto" w:fill="C0C0C0"/>
          </w:tcPr>
          <w:p w14:paraId="0E4A6007" w:rsidR="00870DA8" w:rsidRPr="00870DA8" w:rsidRDefault="00870DA8" w:rsidP="00870DA8">
            <w:pPr>
              <w:spacing w:before="40"/>
              <w:jc w:val="both"/>
              <w:rPr>
                <w:rFonts w:ascii="Times New Roman" w:hAnsi="Times New Roman" w:cs="Times New Roman"/>
                <w:sz w:val="20"/>
                <w:szCs w:val="20"/>
              </w:rPr>
            </w:pPr>
            <w:r w:rsidRPr="00870DA8">
              <w:rPr>
                <w:rFonts w:ascii="Times New Roman" w:hAnsi="Times New Roman" w:cs="Times New Roman"/>
                <w:b/>
                <w:sz w:val="20"/>
                <w:szCs w:val="20"/>
              </w:rPr>
              <w:t xml:space="preserve">Undesignated protected area </w:t>
            </w:r>
          </w:p>
        </w:tc>
      </w:tr>
      <w:tr w14:paraId="13D3D793" w:rsidR="00870DA8" w:rsidRPr="00870DA8" w:rsidTr="00870DA8">
        <w:trPr>
          <w:trHeight w:val="206"/>
        </w:trPr>
        <w:tc>
          <w:tcPr>
            <w:tcW w:w="8647" w:type="dxa"/>
            <w:gridSpan w:val="5"/>
            <w:tcBorders>
              <w:top w:val="nil"/>
              <w:left w:val="single" w:sz="4" w:space="0" w:color="auto"/>
              <w:bottom w:val="single" w:sz="4" w:space="0" w:color="auto"/>
              <w:right w:val="single" w:sz="4" w:space="0" w:color="auto"/>
            </w:tcBorders>
            <w:shd w:val="clear" w:color="auto" w:fill="C0C0C0"/>
          </w:tcPr>
          <w:p w14:paraId="175258DE" w:rsidR="00870DA8" w:rsidRPr="00870DA8" w:rsidRDefault="00870DA8" w:rsidP="00870DA8">
            <w:pPr>
              <w:spacing w:after="40"/>
              <w:jc w:val="both"/>
              <w:rPr>
                <w:rFonts w:ascii="Times New Roman" w:hAnsi="Times New Roman" w:cs="Times New Roman"/>
                <w:b/>
                <w:sz w:val="20"/>
                <w:szCs w:val="20"/>
              </w:rPr>
            </w:pPr>
            <w:r w:rsidRPr="00870DA8">
              <w:rPr>
                <w:rFonts w:ascii="Times New Roman" w:hAnsi="Times New Roman" w:cs="Times New Roman"/>
                <w:sz w:val="20"/>
                <w:szCs w:val="20"/>
              </w:rPr>
              <w:t>existing management activities, but no management plan; lacks legislative designation</w:t>
            </w:r>
          </w:p>
        </w:tc>
      </w:tr>
      <w:tr w14:paraId="7E2CE09A" w:rsidR="00870DA8" w:rsidRPr="00870DA8" w:rsidTr="00870DA8">
        <w:tc>
          <w:tcPr>
            <w:tcW w:w="4252" w:type="dxa"/>
            <w:tcBorders>
              <w:top w:val="single" w:sz="4" w:space="0" w:color="auto"/>
              <w:left w:val="single" w:sz="4" w:space="0" w:color="auto"/>
              <w:bottom w:val="nil"/>
              <w:right w:val="single" w:sz="4" w:space="0" w:color="auto"/>
            </w:tcBorders>
          </w:tcPr>
          <w:p w14:paraId="1BD08828"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Morne Gazo</w:t>
            </w:r>
          </w:p>
        </w:tc>
        <w:tc>
          <w:tcPr>
            <w:tcW w:w="709" w:type="dxa"/>
            <w:tcBorders>
              <w:top w:val="single" w:sz="4" w:space="0" w:color="auto"/>
              <w:left w:val="single" w:sz="4" w:space="0" w:color="auto"/>
              <w:bottom w:val="nil"/>
              <w:right w:val="single" w:sz="4" w:space="0" w:color="auto"/>
            </w:tcBorders>
          </w:tcPr>
          <w:p w14:paraId="33FC0458"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25</w:t>
            </w:r>
          </w:p>
        </w:tc>
        <w:tc>
          <w:tcPr>
            <w:tcW w:w="709" w:type="dxa"/>
            <w:tcBorders>
              <w:top w:val="single" w:sz="4" w:space="0" w:color="auto"/>
              <w:left w:val="single" w:sz="4" w:space="0" w:color="auto"/>
              <w:bottom w:val="nil"/>
              <w:right w:val="single" w:sz="4" w:space="0" w:color="auto"/>
            </w:tcBorders>
          </w:tcPr>
          <w:p w14:paraId="4FBB8ECD"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single" w:sz="4" w:space="0" w:color="auto"/>
              <w:left w:val="single" w:sz="4" w:space="0" w:color="auto"/>
              <w:bottom w:val="nil"/>
              <w:right w:val="single" w:sz="4" w:space="0" w:color="auto"/>
            </w:tcBorders>
          </w:tcPr>
          <w:p w14:paraId="0380F438"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25</w:t>
            </w:r>
          </w:p>
        </w:tc>
        <w:tc>
          <w:tcPr>
            <w:tcW w:w="1843" w:type="dxa"/>
            <w:tcBorders>
              <w:top w:val="single" w:sz="4" w:space="0" w:color="auto"/>
              <w:left w:val="single" w:sz="4" w:space="0" w:color="auto"/>
              <w:bottom w:val="nil"/>
              <w:right w:val="single" w:sz="4" w:space="0" w:color="auto"/>
            </w:tcBorders>
          </w:tcPr>
          <w:p w14:paraId="5537FCDB"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xml:space="preserve">, </w:t>
            </w:r>
          </w:p>
        </w:tc>
      </w:tr>
      <w:tr w14:paraId="3E6F8A28" w:rsidR="00870DA8" w:rsidRPr="00870DA8" w:rsidTr="00870DA8">
        <w:tc>
          <w:tcPr>
            <w:tcW w:w="4252" w:type="dxa"/>
            <w:tcBorders>
              <w:top w:val="nil"/>
              <w:left w:val="single" w:sz="4" w:space="0" w:color="auto"/>
              <w:bottom w:val="nil"/>
              <w:right w:val="single" w:sz="4" w:space="0" w:color="auto"/>
            </w:tcBorders>
          </w:tcPr>
          <w:p w14:paraId="77F564B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Richmond Hill</w:t>
            </w:r>
          </w:p>
        </w:tc>
        <w:tc>
          <w:tcPr>
            <w:tcW w:w="709" w:type="dxa"/>
            <w:tcBorders>
              <w:top w:val="nil"/>
              <w:left w:val="single" w:sz="4" w:space="0" w:color="auto"/>
              <w:bottom w:val="nil"/>
              <w:right w:val="single" w:sz="4" w:space="0" w:color="auto"/>
            </w:tcBorders>
          </w:tcPr>
          <w:p w14:paraId="2D51474E"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 xml:space="preserve"> 8</w:t>
            </w:r>
          </w:p>
        </w:tc>
        <w:tc>
          <w:tcPr>
            <w:tcW w:w="709" w:type="dxa"/>
            <w:tcBorders>
              <w:top w:val="nil"/>
              <w:left w:val="single" w:sz="4" w:space="0" w:color="auto"/>
              <w:bottom w:val="nil"/>
              <w:right w:val="single" w:sz="4" w:space="0" w:color="auto"/>
            </w:tcBorders>
          </w:tcPr>
          <w:p w14:paraId="58B93F6F"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tcPr>
          <w:p w14:paraId="7764AEDA"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8</w:t>
            </w:r>
          </w:p>
        </w:tc>
        <w:tc>
          <w:tcPr>
            <w:tcW w:w="1843" w:type="dxa"/>
            <w:tcBorders>
              <w:top w:val="nil"/>
              <w:left w:val="single" w:sz="4" w:space="0" w:color="auto"/>
              <w:bottom w:val="nil"/>
              <w:right w:val="single" w:sz="4" w:space="0" w:color="auto"/>
            </w:tcBorders>
          </w:tcPr>
          <w:p w14:paraId="022B47C5"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736E45A1" w:rsidR="00870DA8" w:rsidRPr="00870DA8" w:rsidTr="00870DA8">
        <w:tc>
          <w:tcPr>
            <w:tcW w:w="4252" w:type="dxa"/>
            <w:tcBorders>
              <w:top w:val="nil"/>
              <w:left w:val="single" w:sz="4" w:space="0" w:color="auto"/>
              <w:bottom w:val="nil"/>
              <w:right w:val="single" w:sz="4" w:space="0" w:color="auto"/>
            </w:tcBorders>
          </w:tcPr>
          <w:p w14:paraId="2BAE18ED"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Grand Bras</w:t>
            </w:r>
          </w:p>
        </w:tc>
        <w:tc>
          <w:tcPr>
            <w:tcW w:w="709" w:type="dxa"/>
            <w:tcBorders>
              <w:top w:val="nil"/>
              <w:left w:val="single" w:sz="4" w:space="0" w:color="auto"/>
              <w:bottom w:val="nil"/>
              <w:right w:val="single" w:sz="4" w:space="0" w:color="auto"/>
            </w:tcBorders>
          </w:tcPr>
          <w:p w14:paraId="5E53B8A0"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 xml:space="preserve"> 4</w:t>
            </w:r>
          </w:p>
        </w:tc>
        <w:tc>
          <w:tcPr>
            <w:tcW w:w="709" w:type="dxa"/>
            <w:tcBorders>
              <w:top w:val="nil"/>
              <w:left w:val="single" w:sz="4" w:space="0" w:color="auto"/>
              <w:bottom w:val="nil"/>
              <w:right w:val="single" w:sz="4" w:space="0" w:color="auto"/>
            </w:tcBorders>
          </w:tcPr>
          <w:p w14:paraId="64E91239"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nil"/>
              <w:right w:val="single" w:sz="4" w:space="0" w:color="auto"/>
            </w:tcBorders>
          </w:tcPr>
          <w:p w14:paraId="1FF7B4A3"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4</w:t>
            </w:r>
          </w:p>
        </w:tc>
        <w:tc>
          <w:tcPr>
            <w:tcW w:w="1843" w:type="dxa"/>
            <w:tcBorders>
              <w:top w:val="nil"/>
              <w:left w:val="single" w:sz="4" w:space="0" w:color="auto"/>
              <w:bottom w:val="nil"/>
              <w:right w:val="single" w:sz="4" w:space="0" w:color="auto"/>
            </w:tcBorders>
          </w:tcPr>
          <w:p w14:paraId="714B390B"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4D58DDF6" w:rsidR="00870DA8" w:rsidRPr="00870DA8" w:rsidTr="00870DA8">
        <w:tc>
          <w:tcPr>
            <w:tcW w:w="4252" w:type="dxa"/>
            <w:tcBorders>
              <w:top w:val="nil"/>
              <w:left w:val="single" w:sz="4" w:space="0" w:color="auto"/>
              <w:bottom w:val="single" w:sz="4" w:space="0" w:color="auto"/>
              <w:right w:val="single" w:sz="4" w:space="0" w:color="auto"/>
            </w:tcBorders>
          </w:tcPr>
          <w:p w14:paraId="305B92E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Mt. Moritz</w:t>
            </w:r>
          </w:p>
        </w:tc>
        <w:tc>
          <w:tcPr>
            <w:tcW w:w="709" w:type="dxa"/>
            <w:tcBorders>
              <w:top w:val="nil"/>
              <w:left w:val="single" w:sz="4" w:space="0" w:color="auto"/>
              <w:bottom w:val="single" w:sz="4" w:space="0" w:color="auto"/>
              <w:right w:val="single" w:sz="4" w:space="0" w:color="auto"/>
            </w:tcBorders>
          </w:tcPr>
          <w:p w14:paraId="54C974CF"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 xml:space="preserve"> 8</w:t>
            </w:r>
          </w:p>
        </w:tc>
        <w:tc>
          <w:tcPr>
            <w:tcW w:w="709" w:type="dxa"/>
            <w:tcBorders>
              <w:top w:val="nil"/>
              <w:left w:val="single" w:sz="4" w:space="0" w:color="auto"/>
              <w:bottom w:val="single" w:sz="4" w:space="0" w:color="auto"/>
              <w:right w:val="single" w:sz="4" w:space="0" w:color="auto"/>
            </w:tcBorders>
          </w:tcPr>
          <w:p w14:paraId="64119276"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nil"/>
              <w:left w:val="single" w:sz="4" w:space="0" w:color="auto"/>
              <w:bottom w:val="single" w:sz="4" w:space="0" w:color="auto"/>
              <w:right w:val="single" w:sz="4" w:space="0" w:color="auto"/>
            </w:tcBorders>
          </w:tcPr>
          <w:p w14:paraId="523F56A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8</w:t>
            </w:r>
          </w:p>
        </w:tc>
        <w:tc>
          <w:tcPr>
            <w:tcW w:w="1843" w:type="dxa"/>
            <w:tcBorders>
              <w:top w:val="nil"/>
              <w:left w:val="single" w:sz="4" w:space="0" w:color="auto"/>
              <w:bottom w:val="single" w:sz="4" w:space="0" w:color="auto"/>
              <w:right w:val="single" w:sz="4" w:space="0" w:color="auto"/>
            </w:tcBorders>
          </w:tcPr>
          <w:p w14:paraId="20C8A037"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392C325E" w:rsidR="00870DA8" w:rsidRPr="00870DA8" w:rsidTr="00870DA8">
        <w:trPr>
          <w:trHeight w:val="134"/>
        </w:trPr>
        <w:tc>
          <w:tcPr>
            <w:tcW w:w="8647" w:type="dxa"/>
            <w:gridSpan w:val="5"/>
            <w:tcBorders>
              <w:top w:val="single" w:sz="4" w:space="0" w:color="auto"/>
              <w:left w:val="single" w:sz="4" w:space="0" w:color="auto"/>
              <w:bottom w:val="nil"/>
              <w:right w:val="single" w:sz="4" w:space="0" w:color="auto"/>
            </w:tcBorders>
            <w:shd w:val="clear" w:color="auto" w:fill="C0C0C0"/>
          </w:tcPr>
          <w:p w14:paraId="33473F53" w:rsidR="00870DA8" w:rsidRPr="00870DA8" w:rsidRDefault="00870DA8" w:rsidP="00870DA8">
            <w:pPr>
              <w:spacing w:before="40"/>
              <w:jc w:val="both"/>
              <w:rPr>
                <w:rFonts w:ascii="Times New Roman" w:hAnsi="Times New Roman" w:cs="Times New Roman"/>
                <w:sz w:val="20"/>
                <w:szCs w:val="20"/>
              </w:rPr>
            </w:pPr>
            <w:r w:rsidRPr="00870DA8">
              <w:rPr>
                <w:rFonts w:ascii="Times New Roman" w:hAnsi="Times New Roman" w:cs="Times New Roman"/>
                <w:b/>
                <w:sz w:val="20"/>
                <w:szCs w:val="20"/>
              </w:rPr>
              <w:t xml:space="preserve">Proposed protected area </w:t>
            </w:r>
          </w:p>
        </w:tc>
      </w:tr>
      <w:tr w14:paraId="1F2C5BBF" w:rsidR="00870DA8" w:rsidRPr="00870DA8" w:rsidTr="00870DA8">
        <w:trPr>
          <w:trHeight w:val="133"/>
        </w:trPr>
        <w:tc>
          <w:tcPr>
            <w:tcW w:w="8647" w:type="dxa"/>
            <w:gridSpan w:val="5"/>
            <w:tcBorders>
              <w:top w:val="nil"/>
              <w:left w:val="single" w:sz="4" w:space="0" w:color="auto"/>
              <w:bottom w:val="single" w:sz="4" w:space="0" w:color="auto"/>
              <w:right w:val="single" w:sz="4" w:space="0" w:color="auto"/>
            </w:tcBorders>
            <w:shd w:val="clear" w:color="auto" w:fill="C0C0C0"/>
          </w:tcPr>
          <w:p w14:paraId="72717883" w:rsidR="00870DA8" w:rsidRPr="00870DA8" w:rsidRDefault="00870DA8" w:rsidP="00870DA8">
            <w:pPr>
              <w:spacing w:after="40"/>
              <w:jc w:val="both"/>
              <w:rPr>
                <w:rFonts w:ascii="Times New Roman" w:hAnsi="Times New Roman" w:cs="Times New Roman"/>
                <w:b/>
                <w:sz w:val="20"/>
                <w:szCs w:val="20"/>
              </w:rPr>
            </w:pPr>
            <w:r w:rsidRPr="00870DA8">
              <w:rPr>
                <w:rFonts w:ascii="Times New Roman" w:hAnsi="Times New Roman" w:cs="Times New Roman"/>
                <w:sz w:val="20"/>
                <w:szCs w:val="20"/>
              </w:rPr>
              <w:t>priority area of interest established; projected initiatives</w:t>
            </w:r>
          </w:p>
        </w:tc>
      </w:tr>
      <w:tr w14:paraId="3C8B7105" w:rsidR="00870DA8" w:rsidRPr="00870DA8" w:rsidTr="00870DA8">
        <w:tc>
          <w:tcPr>
            <w:tcW w:w="4252" w:type="dxa"/>
            <w:tcBorders>
              <w:top w:val="single" w:sz="4" w:space="0" w:color="auto"/>
            </w:tcBorders>
          </w:tcPr>
          <w:p w14:paraId="4604D8F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Mt. St. Catherine</w:t>
            </w:r>
          </w:p>
        </w:tc>
        <w:tc>
          <w:tcPr>
            <w:tcW w:w="709" w:type="dxa"/>
            <w:tcBorders>
              <w:top w:val="single" w:sz="4" w:space="0" w:color="auto"/>
            </w:tcBorders>
          </w:tcPr>
          <w:p w14:paraId="69F2C9B0" w:rsidR="00870DA8" w:rsidRPr="00870DA8" w:rsidRDefault="00870DA8" w:rsidP="00870DA8">
            <w:pPr>
              <w:rPr>
                <w:rFonts w:ascii="Times New Roman" w:hAnsi="Times New Roman" w:cs="Times New Roman"/>
                <w:sz w:val="20"/>
                <w:szCs w:val="20"/>
              </w:rPr>
            </w:pPr>
            <w:r w:rsidRPr="00870DA8">
              <w:rPr>
                <w:rFonts w:ascii="Times New Roman" w:hAnsi="Times New Roman" w:cs="Times New Roman"/>
                <w:sz w:val="20"/>
                <w:szCs w:val="20"/>
              </w:rPr>
              <w:t>1000</w:t>
            </w:r>
          </w:p>
        </w:tc>
        <w:tc>
          <w:tcPr>
            <w:tcW w:w="709" w:type="dxa"/>
            <w:tcBorders>
              <w:top w:val="single" w:sz="4" w:space="0" w:color="auto"/>
            </w:tcBorders>
          </w:tcPr>
          <w:p w14:paraId="2B2BE9D2"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w:t>
            </w:r>
          </w:p>
        </w:tc>
        <w:tc>
          <w:tcPr>
            <w:tcW w:w="1134" w:type="dxa"/>
            <w:tcBorders>
              <w:top w:val="single" w:sz="4" w:space="0" w:color="auto"/>
            </w:tcBorders>
          </w:tcPr>
          <w:p w14:paraId="7C080559"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1000</w:t>
            </w:r>
          </w:p>
        </w:tc>
        <w:tc>
          <w:tcPr>
            <w:tcW w:w="1843" w:type="dxa"/>
            <w:tcBorders>
              <w:top w:val="single" w:sz="4" w:space="0" w:color="auto"/>
            </w:tcBorders>
          </w:tcPr>
          <w:p w14:paraId="5209FDAA"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4202BEA0" w:rsidR="00870DA8" w:rsidRPr="00870DA8" w:rsidTr="00870DA8">
        <w:tc>
          <w:tcPr>
            <w:tcW w:w="4252" w:type="dxa"/>
          </w:tcPr>
          <w:p w14:paraId="60ABDE8E"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High North addition</w:t>
            </w:r>
          </w:p>
        </w:tc>
        <w:tc>
          <w:tcPr>
            <w:tcW w:w="709" w:type="dxa"/>
          </w:tcPr>
          <w:p w14:paraId="70C86DEC"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w:t>
            </w:r>
          </w:p>
        </w:tc>
        <w:tc>
          <w:tcPr>
            <w:tcW w:w="709" w:type="dxa"/>
          </w:tcPr>
          <w:p w14:paraId="55591EF4"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160</w:t>
            </w:r>
          </w:p>
        </w:tc>
        <w:tc>
          <w:tcPr>
            <w:tcW w:w="1134" w:type="dxa"/>
          </w:tcPr>
          <w:p w14:paraId="66B8EE20"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160</w:t>
            </w:r>
          </w:p>
        </w:tc>
        <w:tc>
          <w:tcPr>
            <w:tcW w:w="1843" w:type="dxa"/>
          </w:tcPr>
          <w:p w14:paraId="6069E179"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p>
        </w:tc>
      </w:tr>
      <w:tr w14:paraId="05D1C1D6" w:rsidR="00870DA8" w:rsidRPr="00870DA8" w:rsidTr="00870DA8">
        <w:tc>
          <w:tcPr>
            <w:tcW w:w="4252" w:type="dxa"/>
          </w:tcPr>
          <w:p w14:paraId="5AE3E4CE"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Levera marine area addition</w:t>
            </w:r>
          </w:p>
        </w:tc>
        <w:tc>
          <w:tcPr>
            <w:tcW w:w="709" w:type="dxa"/>
          </w:tcPr>
          <w:p w14:paraId="65E19C9A"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25</w:t>
            </w:r>
            <w:r w:rsidRPr="00870DA8">
              <w:rPr>
                <w:rFonts w:ascii="Times New Roman" w:hAnsi="Times New Roman" w:cs="Times New Roman"/>
                <w:sz w:val="20"/>
                <w:szCs w:val="20"/>
                <w:vertAlign w:val="superscript"/>
              </w:rPr>
              <w:t>8</w:t>
            </w:r>
          </w:p>
        </w:tc>
        <w:tc>
          <w:tcPr>
            <w:tcW w:w="709" w:type="dxa"/>
          </w:tcPr>
          <w:p w14:paraId="217A1E56"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725</w:t>
            </w:r>
          </w:p>
        </w:tc>
        <w:tc>
          <w:tcPr>
            <w:tcW w:w="1134" w:type="dxa"/>
          </w:tcPr>
          <w:p w14:paraId="21C8D36B"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750</w:t>
            </w:r>
          </w:p>
        </w:tc>
        <w:tc>
          <w:tcPr>
            <w:tcW w:w="1843" w:type="dxa"/>
          </w:tcPr>
          <w:p w14:paraId="390CE575"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162E229A" w:rsidR="00870DA8" w:rsidRPr="00870DA8" w:rsidTr="00870DA8">
        <w:trPr>
          <w:trHeight w:val="254"/>
        </w:trPr>
        <w:tc>
          <w:tcPr>
            <w:tcW w:w="4252" w:type="dxa"/>
          </w:tcPr>
          <w:p w14:paraId="5D5EA01D"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Moliniere-Beausejour marine area addition</w:t>
            </w:r>
          </w:p>
        </w:tc>
        <w:tc>
          <w:tcPr>
            <w:tcW w:w="709" w:type="dxa"/>
          </w:tcPr>
          <w:p w14:paraId="11225189"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w:t>
            </w:r>
          </w:p>
        </w:tc>
        <w:tc>
          <w:tcPr>
            <w:tcW w:w="709" w:type="dxa"/>
          </w:tcPr>
          <w:p w14:paraId="39209D4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240</w:t>
            </w:r>
          </w:p>
        </w:tc>
        <w:tc>
          <w:tcPr>
            <w:tcW w:w="1134" w:type="dxa"/>
          </w:tcPr>
          <w:p w14:paraId="487784EB"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240</w:t>
            </w:r>
          </w:p>
        </w:tc>
        <w:tc>
          <w:tcPr>
            <w:tcW w:w="1843" w:type="dxa"/>
          </w:tcPr>
          <w:p w14:paraId="6C437A72"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PIF</w:t>
            </w:r>
            <w:r w:rsidRPr="00870DA8">
              <w:rPr>
                <w:rFonts w:ascii="Times New Roman" w:hAnsi="Times New Roman" w:cs="Times New Roman"/>
                <w:sz w:val="20"/>
                <w:szCs w:val="20"/>
                <w:vertAlign w:val="superscript"/>
              </w:rPr>
              <w:t>7</w:t>
            </w:r>
          </w:p>
        </w:tc>
      </w:tr>
      <w:tr w14:paraId="40F18210" w:rsidR="00870DA8" w:rsidRPr="00870DA8" w:rsidTr="00870DA8">
        <w:tc>
          <w:tcPr>
            <w:tcW w:w="4252" w:type="dxa"/>
          </w:tcPr>
          <w:p w14:paraId="637844B1"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White Island marine area</w:t>
            </w:r>
          </w:p>
        </w:tc>
        <w:tc>
          <w:tcPr>
            <w:tcW w:w="709" w:type="dxa"/>
          </w:tcPr>
          <w:p w14:paraId="4288E40E"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130</w:t>
            </w:r>
            <w:r w:rsidRPr="00870DA8">
              <w:rPr>
                <w:rFonts w:ascii="Times New Roman" w:hAnsi="Times New Roman" w:cs="Times New Roman"/>
                <w:sz w:val="20"/>
                <w:szCs w:val="20"/>
                <w:vertAlign w:val="superscript"/>
              </w:rPr>
              <w:t>9</w:t>
            </w:r>
          </w:p>
        </w:tc>
        <w:tc>
          <w:tcPr>
            <w:tcW w:w="709" w:type="dxa"/>
          </w:tcPr>
          <w:p w14:paraId="1A1B4E24"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1970</w:t>
            </w:r>
          </w:p>
        </w:tc>
        <w:tc>
          <w:tcPr>
            <w:tcW w:w="1134" w:type="dxa"/>
          </w:tcPr>
          <w:p w14:paraId="49913186"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2100</w:t>
            </w:r>
          </w:p>
        </w:tc>
        <w:tc>
          <w:tcPr>
            <w:tcW w:w="1843" w:type="dxa"/>
          </w:tcPr>
          <w:p w14:paraId="13336421"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168F5C6F" w:rsidR="00870DA8" w:rsidRPr="00870DA8" w:rsidTr="00870DA8">
        <w:tc>
          <w:tcPr>
            <w:tcW w:w="4252" w:type="dxa"/>
          </w:tcPr>
          <w:p w14:paraId="5039B4E4"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Grand Anse marine area</w:t>
            </w:r>
          </w:p>
        </w:tc>
        <w:tc>
          <w:tcPr>
            <w:tcW w:w="709" w:type="dxa"/>
          </w:tcPr>
          <w:p w14:paraId="360BA11C" w:rsidR="00870DA8" w:rsidRPr="00870DA8" w:rsidRDefault="00870DA8" w:rsidP="00870DA8">
            <w:pPr>
              <w:jc w:val="center"/>
              <w:rPr>
                <w:rFonts w:ascii="Times New Roman" w:hAnsi="Times New Roman" w:cs="Times New Roman"/>
                <w:sz w:val="20"/>
                <w:szCs w:val="20"/>
              </w:rPr>
            </w:pPr>
            <w:r w:rsidRPr="00870DA8">
              <w:rPr>
                <w:rFonts w:ascii="Times New Roman" w:hAnsi="Times New Roman" w:cs="Times New Roman"/>
                <w:sz w:val="20"/>
                <w:szCs w:val="20"/>
              </w:rPr>
              <w:t>-</w:t>
            </w:r>
          </w:p>
        </w:tc>
        <w:tc>
          <w:tcPr>
            <w:tcW w:w="709" w:type="dxa"/>
          </w:tcPr>
          <w:p w14:paraId="4BFE11A4"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1500</w:t>
            </w:r>
          </w:p>
        </w:tc>
        <w:tc>
          <w:tcPr>
            <w:tcW w:w="1134" w:type="dxa"/>
          </w:tcPr>
          <w:p w14:paraId="3B69F3AC"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1500</w:t>
            </w:r>
          </w:p>
        </w:tc>
        <w:tc>
          <w:tcPr>
            <w:tcW w:w="1843" w:type="dxa"/>
          </w:tcPr>
          <w:p w14:paraId="674C6E5C"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r w14:paraId="6EC675BE" w:rsidR="00870DA8" w:rsidRPr="00870DA8" w:rsidTr="00870DA8">
        <w:tc>
          <w:tcPr>
            <w:tcW w:w="4252" w:type="dxa"/>
          </w:tcPr>
          <w:p w14:paraId="4C38C508"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Southeast Coast marine area</w:t>
            </w:r>
          </w:p>
        </w:tc>
        <w:tc>
          <w:tcPr>
            <w:tcW w:w="709" w:type="dxa"/>
          </w:tcPr>
          <w:p w14:paraId="0623426B"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5</w:t>
            </w:r>
            <w:r w:rsidRPr="00870DA8">
              <w:rPr>
                <w:rFonts w:ascii="Times New Roman" w:hAnsi="Times New Roman" w:cs="Times New Roman"/>
                <w:sz w:val="20"/>
                <w:szCs w:val="20"/>
                <w:vertAlign w:val="superscript"/>
              </w:rPr>
              <w:t>10</w:t>
            </w:r>
          </w:p>
        </w:tc>
        <w:tc>
          <w:tcPr>
            <w:tcW w:w="709" w:type="dxa"/>
          </w:tcPr>
          <w:p w14:paraId="216447F7"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6995</w:t>
            </w:r>
          </w:p>
        </w:tc>
        <w:tc>
          <w:tcPr>
            <w:tcW w:w="1134" w:type="dxa"/>
          </w:tcPr>
          <w:p w14:paraId="69AB5A4C" w:rsidR="00870DA8" w:rsidRPr="00870DA8" w:rsidRDefault="00870DA8" w:rsidP="00870DA8">
            <w:pPr>
              <w:jc w:val="both"/>
              <w:rPr>
                <w:rFonts w:ascii="Times New Roman" w:hAnsi="Times New Roman" w:cs="Times New Roman"/>
                <w:sz w:val="20"/>
                <w:szCs w:val="20"/>
              </w:rPr>
            </w:pPr>
            <w:r w:rsidRPr="00870DA8">
              <w:rPr>
                <w:rFonts w:ascii="Times New Roman" w:hAnsi="Times New Roman" w:cs="Times New Roman"/>
                <w:sz w:val="20"/>
                <w:szCs w:val="20"/>
              </w:rPr>
              <w:t xml:space="preserve">      7000</w:t>
            </w:r>
          </w:p>
        </w:tc>
        <w:tc>
          <w:tcPr>
            <w:tcW w:w="1843" w:type="dxa"/>
          </w:tcPr>
          <w:p w14:paraId="7DA7DA11" w:rsidR="00870DA8" w:rsidRPr="00870DA8" w:rsidRDefault="00870DA8" w:rsidP="00870DA8">
            <w:pPr>
              <w:jc w:val="right"/>
              <w:rPr>
                <w:rFonts w:ascii="Times New Roman" w:hAnsi="Times New Roman" w:cs="Times New Roman"/>
                <w:sz w:val="20"/>
                <w:szCs w:val="20"/>
              </w:rPr>
            </w:pPr>
            <w:r w:rsidRPr="00870DA8">
              <w:rPr>
                <w:rFonts w:ascii="Times New Roman" w:hAnsi="Times New Roman" w:cs="Times New Roman"/>
                <w:sz w:val="20"/>
                <w:szCs w:val="20"/>
              </w:rPr>
              <w:t>GPASP</w:t>
            </w:r>
            <w:r w:rsidRPr="00870DA8">
              <w:rPr>
                <w:rFonts w:ascii="Times New Roman" w:hAnsi="Times New Roman" w:cs="Times New Roman"/>
                <w:sz w:val="20"/>
                <w:szCs w:val="20"/>
                <w:vertAlign w:val="superscript"/>
              </w:rPr>
              <w:t>2</w:t>
            </w:r>
            <w:r w:rsidRPr="00870DA8">
              <w:rPr>
                <w:rFonts w:ascii="Times New Roman" w:hAnsi="Times New Roman" w:cs="Times New Roman"/>
                <w:sz w:val="20"/>
                <w:szCs w:val="20"/>
              </w:rPr>
              <w:t>, PIF</w:t>
            </w:r>
            <w:r w:rsidRPr="00870DA8">
              <w:rPr>
                <w:rFonts w:ascii="Times New Roman" w:hAnsi="Times New Roman" w:cs="Times New Roman"/>
                <w:sz w:val="20"/>
                <w:szCs w:val="20"/>
                <w:vertAlign w:val="superscript"/>
              </w:rPr>
              <w:t>7</w:t>
            </w:r>
          </w:p>
        </w:tc>
      </w:tr>
    </w:tbl>
    <w:p w14:paraId="7420A44C" w:rsidR="00870DA8" w:rsidRPr="00870DA8" w:rsidRDefault="00870DA8" w:rsidP="00870DA8">
      <w:pPr>
        <w:spacing w:after="0" w:line="240" w:lineRule="auto"/>
        <w:ind w:left="720"/>
        <w:contextualSpacing/>
        <w:jc w:val="both"/>
        <w:rPr>
          <w:rFonts w:ascii="Times New Roman" w:hAnsi="Times New Roman" w:cs="Times New Roman"/>
          <w:sz w:val="16"/>
          <w:szCs w:val="16"/>
        </w:rPr>
      </w:pPr>
    </w:p>
    <w:p w14:paraId="4A9E95AE"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Revised name: Perseverance Protected Area and Dove Sanctuary (unofficial)</w:t>
      </w:r>
    </w:p>
    <w:p w14:paraId="0A924AEB"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Grenada Protected Area System Plan (Turner 2009)</w:t>
      </w:r>
    </w:p>
    <w:p w14:paraId="6CEEFC7C"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Includes southeast mainland areas of mangroves, Mabouya and Sandy islands</w:t>
      </w:r>
    </w:p>
    <w:p w14:paraId="2A89D10B"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 xml:space="preserve">Excludes Hog and Calivigny islands; includes yacht mooring areas </w:t>
      </w:r>
    </w:p>
    <w:p w14:paraId="79E59000"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Revised name: Mt. Hartman National Park and Dove Sanctuary (unofficial)</w:t>
      </w:r>
    </w:p>
    <w:p w14:paraId="7E2FF5DB"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Includes Sugar Loaf Island and area between Sugar Loaf Island and Levera Beach</w:t>
      </w:r>
    </w:p>
    <w:p w14:paraId="30C5384B"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i/>
          <w:sz w:val="18"/>
          <w:szCs w:val="18"/>
        </w:rPr>
        <w:t>Ridge-to-Reef Project Identification Form</w:t>
      </w:r>
    </w:p>
    <w:p w14:paraId="7EFFCCCB"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Includes Green and Sandy islands</w:t>
      </w:r>
    </w:p>
    <w:p w14:paraId="001F4CE9"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Includes White, Saline, Frigate, and Bird islands</w:t>
      </w:r>
    </w:p>
    <w:p w14:paraId="1D191CB9" w:rsidR="00870DA8" w:rsidRPr="00A924AC" w:rsidRDefault="00870DA8" w:rsidP="00CA416F">
      <w:pPr>
        <w:numPr>
          <w:ilvl w:val="0"/>
          <w:numId w:val="75"/>
        </w:numPr>
        <w:spacing w:after="0" w:line="240" w:lineRule="auto"/>
        <w:contextualSpacing/>
        <w:jc w:val="both"/>
        <w:rPr>
          <w:rFonts w:ascii="Times New Roman" w:hAnsi="Times New Roman" w:cs="Times New Roman"/>
          <w:sz w:val="18"/>
          <w:szCs w:val="18"/>
        </w:rPr>
      </w:pPr>
      <w:r w:rsidRPr="00A924AC">
        <w:rPr>
          <w:rFonts w:ascii="Times New Roman" w:hAnsi="Times New Roman" w:cs="Times New Roman"/>
          <w:sz w:val="18"/>
          <w:szCs w:val="18"/>
        </w:rPr>
        <w:t>Glover Island</w:t>
      </w:r>
    </w:p>
    <w:p w14:paraId="41CDBBA1" w:rsidR="002A7250" w:rsidRDefault="002A7250" w:rsidP="00E96E40">
      <w:pPr>
        <w:spacing w:after="0" w:line="240" w:lineRule="auto"/>
        <w:ind w:left="720"/>
        <w:contextualSpacing/>
        <w:jc w:val="center"/>
        <w:rPr>
          <w:rFonts w:ascii="Times New Roman" w:hAnsi="Times New Roman" w:cs="Times New Roman"/>
          <w:b/>
        </w:rPr>
      </w:pPr>
    </w:p>
    <w:p w14:paraId="614F26FA" w:rsidR="0057151B" w:rsidRDefault="0057151B">
      <w:pPr>
        <w:rPr>
          <w:rFonts w:ascii="Times New Roman" w:hAnsi="Times New Roman" w:cs="Times New Roman"/>
          <w:b/>
        </w:rPr>
      </w:pPr>
      <w:r>
        <w:rPr>
          <w:rFonts w:ascii="Times New Roman" w:hAnsi="Times New Roman" w:cs="Times New Roman"/>
          <w:b/>
        </w:rPr>
        <w:br w:type="page"/>
      </w:r>
    </w:p>
    <w:p w14:paraId="036AD3C4" w:rsidR="00E96E40" w:rsidRPr="00DC4F5F" w:rsidRDefault="00E96E40" w:rsidP="00E96E40">
      <w:pPr>
        <w:spacing w:after="0" w:line="240" w:lineRule="auto"/>
        <w:ind w:left="720"/>
        <w:contextualSpacing/>
        <w:jc w:val="center"/>
        <w:rPr>
          <w:rFonts w:ascii="Times New Roman" w:hAnsi="Times New Roman" w:cs="Times New Roman"/>
          <w:b/>
        </w:rPr>
      </w:pPr>
      <w:r w:rsidRPr="00DC4F5F">
        <w:rPr>
          <w:rFonts w:ascii="Times New Roman" w:hAnsi="Times New Roman" w:cs="Times New Roman"/>
          <w:b/>
        </w:rPr>
        <w:t>Figure 3:</w:t>
      </w:r>
      <w:r w:rsidR="00DC4F5F" w:rsidRPr="00DC4F5F">
        <w:rPr>
          <w:rFonts w:ascii="Times New Roman" w:hAnsi="Times New Roman" w:cs="Times New Roman"/>
          <w:b/>
        </w:rPr>
        <w:t xml:space="preserve"> Proposed Areas of PA Expansion</w:t>
      </w:r>
    </w:p>
    <w:p w14:paraId="7D8D5405" w:rsidR="00870DA8" w:rsidRDefault="00E96E40" w:rsidP="00870DA8">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0B59755" wp14:editId="717B588A">
            <wp:extent cx="5883511" cy="73204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266" b="7836"/>
                    <a:stretch/>
                  </pic:blipFill>
                  <pic:spPr bwMode="auto">
                    <a:xfrm>
                      <a:off x="0" y="0"/>
                      <a:ext cx="5883275" cy="7320131"/>
                    </a:xfrm>
                    <a:prstGeom prst="rect">
                      <a:avLst/>
                    </a:prstGeom>
                    <a:noFill/>
                    <a:ln>
                      <a:noFill/>
                    </a:ln>
                    <a:extLst>
                      <a:ext uri="{53640926-AAD7-44D8-BBD7-CCE9431645EC}">
                        <a14:shadowObscured xmlns:a14="http://schemas.microsoft.com/office/drawing/2010/main"/>
                      </a:ext>
                    </a:extLst>
                  </pic:spPr>
                </pic:pic>
              </a:graphicData>
            </a:graphic>
          </wp:inline>
        </w:drawing>
      </w:r>
    </w:p>
    <w:p w14:paraId="7DAF4F3D" w:rsidR="00DC4F5F" w:rsidRDefault="00DC4F5F" w:rsidP="00870DA8">
      <w:pPr>
        <w:spacing w:after="0" w:line="240" w:lineRule="auto"/>
        <w:jc w:val="both"/>
        <w:rPr>
          <w:rFonts w:ascii="Times New Roman" w:hAnsi="Times New Roman" w:cs="Times New Roman"/>
          <w:sz w:val="20"/>
          <w:szCs w:val="20"/>
        </w:rPr>
      </w:pPr>
    </w:p>
    <w:p w14:paraId="6A3A67C1" w:rsidR="00A924AC" w:rsidRPr="00A924AC" w:rsidRDefault="0042567A" w:rsidP="00A924AC">
      <w:pPr>
        <w:pStyle w:val="ListParagraph"/>
        <w:numPr>
          <w:ilvl w:val="0"/>
          <w:numId w:val="27"/>
        </w:numPr>
        <w:spacing w:after="240" w:line="240" w:lineRule="auto"/>
        <w:ind w:left="0" w:firstLine="0"/>
        <w:contextualSpacing w:val="0"/>
        <w:jc w:val="both"/>
        <w:rPr>
          <w:rFonts w:ascii="Times New Roman" w:hAnsi="Times New Roman" w:cs="Times New Roman"/>
        </w:rPr>
      </w:pPr>
      <w:r w:rsidRPr="00A924AC">
        <w:rPr>
          <w:rFonts w:ascii="Times New Roman" w:hAnsi="Times New Roman" w:cs="Times New Roman"/>
        </w:rPr>
        <w:t xml:space="preserve">In the new </w:t>
      </w:r>
      <w:r w:rsidR="002045A5" w:rsidRPr="00A924AC">
        <w:rPr>
          <w:rFonts w:ascii="Times New Roman" w:hAnsi="Times New Roman" w:cs="Times New Roman"/>
        </w:rPr>
        <w:t>T</w:t>
      </w:r>
      <w:r w:rsidRPr="00A924AC">
        <w:rPr>
          <w:rFonts w:ascii="Times New Roman" w:hAnsi="Times New Roman" w:cs="Times New Roman"/>
        </w:rPr>
        <w:t xml:space="preserve">PA (Mt. St. Catherine Reserve and National Park) and the 4 new MPAs (Grand Anse, Southeast Coast, Levera, and White Island), the project will carry out stakeholder consultations, baseline surveys, boundary demarcation to establish the PA units, </w:t>
      </w:r>
      <w:r w:rsidR="00A924AC" w:rsidRPr="00A924AC">
        <w:rPr>
          <w:rFonts w:ascii="Times New Roman" w:hAnsi="Times New Roman" w:cs="Times New Roman"/>
        </w:rPr>
        <w:t>as well as</w:t>
      </w:r>
      <w:r w:rsidRPr="00A924AC">
        <w:rPr>
          <w:rFonts w:ascii="Times New Roman" w:hAnsi="Times New Roman" w:cs="Times New Roman"/>
        </w:rPr>
        <w:t xml:space="preserve"> create and implement management plans for each site that include biodiversity conservation priority setting and strategies for PA co-management with local populations within and </w:t>
      </w:r>
      <w:r w:rsidR="00A924AC" w:rsidRPr="00A924AC">
        <w:rPr>
          <w:rFonts w:ascii="Times New Roman" w:hAnsi="Times New Roman" w:cs="Times New Roman"/>
        </w:rPr>
        <w:t>around</w:t>
      </w:r>
      <w:r w:rsidRPr="00A924AC">
        <w:rPr>
          <w:rFonts w:ascii="Times New Roman" w:hAnsi="Times New Roman" w:cs="Times New Roman"/>
        </w:rPr>
        <w:t xml:space="preserve"> the PAs.  </w:t>
      </w:r>
      <w:r w:rsidR="00A924AC" w:rsidRPr="00A924AC">
        <w:rPr>
          <w:rFonts w:ascii="Times New Roman" w:hAnsi="Times New Roman" w:cs="Times New Roman"/>
        </w:rPr>
        <w:t xml:space="preserve">Mt. St. Catherine has 1000 ha. of privately owned lands associated with it as well as another 2.2 thousand ha. of land earmarked for incorporation, thereby providing a minimum total area of 3.2 thousand hectares for landscape management by the Government.  As such, the need for keen and deliberate application of BD, SLM, SFM/REDD+, LD and CC adaptation principles and practices is all the more important. </w:t>
      </w:r>
    </w:p>
    <w:p w14:paraId="188FC0A8" w:rsidR="0042567A" w:rsidRDefault="00A924AC"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Furthermore</w:t>
      </w:r>
      <w:r w:rsidR="0042567A" w:rsidRPr="002045A5">
        <w:rPr>
          <w:rFonts w:ascii="Times New Roman" w:hAnsi="Times New Roman" w:cs="Times New Roman"/>
        </w:rPr>
        <w:t xml:space="preserve">, the management plans of selected existing MPA and TPA units (MPA: Moliniere/Beausejour; Woburn/Clarks Court Bay, Sandy Island/Oyster Bed; and TPA: Mt. Hartman, Morne Gazo, Perseverance, and Grand Etang/Annandale) will be revised to incorporate these same priorities.  </w:t>
      </w:r>
    </w:p>
    <w:p w14:paraId="0F81199C" w:rsidR="0042567A" w:rsidRPr="002045A5" w:rsidRDefault="00E96E40"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Through Outputs 1.1 and 1.2, the project will support the development of enhanced</w:t>
      </w:r>
      <w:r w:rsidRPr="00870DA8">
        <w:rPr>
          <w:rFonts w:ascii="Times New Roman" w:hAnsi="Times New Roman" w:cs="Times New Roman"/>
        </w:rPr>
        <w:t xml:space="preserve"> </w:t>
      </w:r>
      <w:r>
        <w:rPr>
          <w:rFonts w:ascii="Times New Roman" w:hAnsi="Times New Roman" w:cs="Times New Roman"/>
        </w:rPr>
        <w:t xml:space="preserve">institutional and legal provisions to cover this expanded </w:t>
      </w:r>
      <w:r w:rsidRPr="00870DA8">
        <w:rPr>
          <w:rFonts w:ascii="Times New Roman" w:hAnsi="Times New Roman" w:cs="Times New Roman"/>
        </w:rPr>
        <w:t xml:space="preserve">Terrestrial and Marine PA </w:t>
      </w:r>
      <w:r>
        <w:rPr>
          <w:rFonts w:ascii="Times New Roman" w:hAnsi="Times New Roman" w:cs="Times New Roman"/>
        </w:rPr>
        <w:t>network, including an appropriate</w:t>
      </w:r>
      <w:r w:rsidRPr="00870DA8">
        <w:rPr>
          <w:rFonts w:ascii="Times New Roman" w:hAnsi="Times New Roman" w:cs="Times New Roman"/>
        </w:rPr>
        <w:t xml:space="preserve"> Parent Act and regulations so as to allow for more adaptive responses in the management and conservation of the BD and ecosystems functions within and around PAs. </w:t>
      </w:r>
      <w:r w:rsidR="0042567A" w:rsidRPr="002045A5">
        <w:rPr>
          <w:rFonts w:ascii="Times New Roman" w:hAnsi="Times New Roman" w:cs="Times New Roman"/>
        </w:rPr>
        <w:t xml:space="preserve">The project will </w:t>
      </w:r>
      <w:r w:rsidR="002045A5">
        <w:rPr>
          <w:rFonts w:ascii="Times New Roman" w:hAnsi="Times New Roman" w:cs="Times New Roman"/>
        </w:rPr>
        <w:t xml:space="preserve">also </w:t>
      </w:r>
      <w:r w:rsidR="0042567A" w:rsidRPr="002045A5">
        <w:rPr>
          <w:rFonts w:ascii="Times New Roman" w:hAnsi="Times New Roman" w:cs="Times New Roman"/>
        </w:rPr>
        <w:t>establish basic infrastructure at new PAs, as well as enhance existing infrastructure at the target PAs</w:t>
      </w:r>
      <w:r w:rsidR="002045A5">
        <w:rPr>
          <w:rFonts w:ascii="Times New Roman" w:hAnsi="Times New Roman" w:cs="Times New Roman"/>
        </w:rPr>
        <w:t>, including the following</w:t>
      </w:r>
      <w:r w:rsidR="0042567A" w:rsidRPr="002045A5">
        <w:rPr>
          <w:rFonts w:ascii="Times New Roman" w:hAnsi="Times New Roman" w:cs="Times New Roman"/>
        </w:rPr>
        <w:t>:</w:t>
      </w:r>
    </w:p>
    <w:p w14:paraId="27E7707C" w:rsidR="0042567A" w:rsidRPr="002045A5" w:rsidRDefault="0042567A" w:rsidP="00CA416F">
      <w:pPr>
        <w:pStyle w:val="ListParagraph"/>
        <w:numPr>
          <w:ilvl w:val="0"/>
          <w:numId w:val="53"/>
        </w:numPr>
        <w:spacing w:after="0"/>
        <w:rPr>
          <w:rFonts w:ascii="Times New Roman" w:hAnsi="Times New Roman" w:cs="Times New Roman"/>
        </w:rPr>
      </w:pPr>
      <w:r w:rsidRPr="002045A5">
        <w:rPr>
          <w:rFonts w:ascii="Times New Roman" w:hAnsi="Times New Roman" w:cs="Times New Roman"/>
        </w:rPr>
        <w:t xml:space="preserve">Interpretation centers at Moliniere/Beausejour and Sandy Island/Oyster Bed; </w:t>
      </w:r>
    </w:p>
    <w:p w14:paraId="171AAD08" w:rsidR="0042567A" w:rsidRPr="002045A5" w:rsidRDefault="0042567A" w:rsidP="00CA416F">
      <w:pPr>
        <w:pStyle w:val="ListParagraph"/>
        <w:numPr>
          <w:ilvl w:val="0"/>
          <w:numId w:val="53"/>
        </w:numPr>
        <w:spacing w:after="0"/>
        <w:rPr>
          <w:rFonts w:ascii="Times New Roman" w:hAnsi="Times New Roman" w:cs="Times New Roman"/>
        </w:rPr>
      </w:pPr>
      <w:r w:rsidRPr="002045A5">
        <w:rPr>
          <w:rFonts w:ascii="Times New Roman" w:hAnsi="Times New Roman" w:cs="Times New Roman"/>
        </w:rPr>
        <w:t xml:space="preserve">Offices at Woburn/Clarks Court Bay; </w:t>
      </w:r>
    </w:p>
    <w:p w14:paraId="5D9509CB" w:rsidR="0042567A" w:rsidRPr="002045A5" w:rsidRDefault="0042567A" w:rsidP="00CA416F">
      <w:pPr>
        <w:pStyle w:val="ListParagraph"/>
        <w:numPr>
          <w:ilvl w:val="0"/>
          <w:numId w:val="53"/>
        </w:numPr>
        <w:spacing w:after="0"/>
        <w:rPr>
          <w:rFonts w:ascii="Times New Roman" w:hAnsi="Times New Roman" w:cs="Times New Roman"/>
        </w:rPr>
      </w:pPr>
      <w:r w:rsidRPr="002045A5">
        <w:rPr>
          <w:rFonts w:ascii="Times New Roman" w:hAnsi="Times New Roman" w:cs="Times New Roman"/>
        </w:rPr>
        <w:t xml:space="preserve">Trails and viewing platforms at Mt. Hartman and Perseverance; </w:t>
      </w:r>
    </w:p>
    <w:p w14:paraId="3EC9C285" w:rsidR="0042567A" w:rsidRPr="002045A5" w:rsidRDefault="0042567A" w:rsidP="00CA416F">
      <w:pPr>
        <w:pStyle w:val="ListParagraph"/>
        <w:numPr>
          <w:ilvl w:val="0"/>
          <w:numId w:val="53"/>
        </w:numPr>
        <w:spacing w:after="0"/>
        <w:rPr>
          <w:rFonts w:ascii="Times New Roman" w:hAnsi="Times New Roman" w:cs="Times New Roman"/>
        </w:rPr>
      </w:pPr>
      <w:r w:rsidRPr="002045A5">
        <w:rPr>
          <w:rFonts w:ascii="Times New Roman" w:hAnsi="Times New Roman" w:cs="Times New Roman"/>
        </w:rPr>
        <w:t xml:space="preserve">Interpretive center, trails and signage at Morne Gazo; </w:t>
      </w:r>
    </w:p>
    <w:p w14:paraId="167F393C" w:rsidR="0042567A" w:rsidRPr="002045A5" w:rsidRDefault="0042567A" w:rsidP="00CA416F">
      <w:pPr>
        <w:pStyle w:val="ListParagraph"/>
        <w:numPr>
          <w:ilvl w:val="0"/>
          <w:numId w:val="53"/>
        </w:numPr>
        <w:spacing w:after="0"/>
        <w:rPr>
          <w:rFonts w:ascii="Times New Roman" w:hAnsi="Times New Roman" w:cs="Times New Roman"/>
        </w:rPr>
      </w:pPr>
      <w:r w:rsidRPr="002045A5">
        <w:rPr>
          <w:rFonts w:ascii="Times New Roman" w:hAnsi="Times New Roman" w:cs="Times New Roman"/>
        </w:rPr>
        <w:t xml:space="preserve">Fencing and signage at Perseverance and Beausejour; </w:t>
      </w:r>
    </w:p>
    <w:p w14:paraId="2A5E405D" w:rsidR="0042567A" w:rsidRDefault="0042567A" w:rsidP="00CA416F">
      <w:pPr>
        <w:pStyle w:val="ListParagraph"/>
        <w:numPr>
          <w:ilvl w:val="0"/>
          <w:numId w:val="53"/>
        </w:numPr>
        <w:spacing w:after="240" w:line="240" w:lineRule="auto"/>
        <w:rPr>
          <w:rFonts w:ascii="Times New Roman" w:hAnsi="Times New Roman" w:cs="Times New Roman"/>
        </w:rPr>
      </w:pPr>
      <w:r w:rsidRPr="002045A5">
        <w:rPr>
          <w:rFonts w:ascii="Times New Roman" w:hAnsi="Times New Roman" w:cs="Times New Roman"/>
        </w:rPr>
        <w:t>Fish landing/sales facilities, moorings, nature trails observation deck and recreation/ picnic area at Sandy Island /Oyster Bed.</w:t>
      </w:r>
    </w:p>
    <w:p w14:paraId="39D3B031" w:rsidR="00133632" w:rsidRPr="00712737" w:rsidRDefault="007919A9" w:rsidP="009C3E04">
      <w:pPr>
        <w:rPr>
          <w:rFonts w:ascii="Times New Roman" w:hAnsi="Times New Roman" w:cs="Times New Roman"/>
          <w:b/>
          <w:i/>
        </w:rPr>
      </w:pPr>
      <w:r w:rsidRPr="00712737">
        <w:rPr>
          <w:rFonts w:ascii="Times New Roman" w:hAnsi="Times New Roman" w:cs="Times New Roman"/>
          <w:b/>
          <w:i/>
        </w:rPr>
        <w:t xml:space="preserve">Output </w:t>
      </w:r>
      <w:r w:rsidR="00133632" w:rsidRPr="00712737">
        <w:rPr>
          <w:rFonts w:ascii="Times New Roman" w:hAnsi="Times New Roman" w:cs="Times New Roman"/>
          <w:b/>
          <w:i/>
        </w:rPr>
        <w:t xml:space="preserve">1.4. </w:t>
      </w:r>
      <w:r w:rsidR="00712737" w:rsidRPr="00712737">
        <w:rPr>
          <w:rFonts w:ascii="Times New Roman" w:hAnsi="Times New Roman" w:cs="Times New Roman"/>
          <w:b/>
          <w:i/>
        </w:rPr>
        <w:t>Management of</w:t>
      </w:r>
      <w:r w:rsidR="00133632" w:rsidRPr="00712737">
        <w:rPr>
          <w:rFonts w:ascii="Times New Roman" w:hAnsi="Times New Roman" w:cs="Times New Roman"/>
          <w:b/>
          <w:i/>
        </w:rPr>
        <w:t xml:space="preserve"> </w:t>
      </w:r>
      <w:r w:rsidR="00712737" w:rsidRPr="00712737">
        <w:rPr>
          <w:rFonts w:ascii="Times New Roman" w:hAnsi="Times New Roman" w:cs="Times New Roman"/>
          <w:b/>
          <w:i/>
        </w:rPr>
        <w:t xml:space="preserve">Protected Area Units Institutionalized </w:t>
      </w:r>
    </w:p>
    <w:p w14:paraId="1F79F122" w:rsidR="00133632" w:rsidRPr="00387BB2" w:rsidRDefault="00253D1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253D13">
        <w:rPr>
          <w:rFonts w:ascii="Times New Roman" w:hAnsi="Times New Roman" w:cs="Times New Roman"/>
        </w:rPr>
        <w:t>This Output</w:t>
      </w:r>
      <w:r w:rsidR="00133632" w:rsidRPr="00253D13">
        <w:rPr>
          <w:rFonts w:ascii="Times New Roman" w:hAnsi="Times New Roman" w:cs="Times New Roman"/>
        </w:rPr>
        <w:t xml:space="preserve"> is designed to gradually mainstream </w:t>
      </w:r>
      <w:r w:rsidR="00A924AC">
        <w:rPr>
          <w:rFonts w:ascii="Times New Roman" w:hAnsi="Times New Roman" w:cs="Times New Roman"/>
        </w:rPr>
        <w:t>PAs</w:t>
      </w:r>
      <w:r w:rsidR="00133632" w:rsidRPr="00253D13">
        <w:rPr>
          <w:rFonts w:ascii="Times New Roman" w:hAnsi="Times New Roman" w:cs="Times New Roman"/>
        </w:rPr>
        <w:t xml:space="preserve"> as </w:t>
      </w:r>
      <w:r w:rsidRPr="00253D13">
        <w:rPr>
          <w:rFonts w:ascii="Times New Roman" w:hAnsi="Times New Roman" w:cs="Times New Roman"/>
        </w:rPr>
        <w:t xml:space="preserve">a </w:t>
      </w:r>
      <w:r w:rsidR="00133632" w:rsidRPr="00253D13">
        <w:rPr>
          <w:rFonts w:ascii="Times New Roman" w:hAnsi="Times New Roman" w:cs="Times New Roman"/>
        </w:rPr>
        <w:t xml:space="preserve">key instrument in a programmatic approach to the management and conservation of the BD and ecosystems function in Grenada. </w:t>
      </w:r>
      <w:r w:rsidRPr="00253D13">
        <w:rPr>
          <w:rFonts w:ascii="Times New Roman" w:hAnsi="Times New Roman" w:cs="Times New Roman"/>
        </w:rPr>
        <w:t>T</w:t>
      </w:r>
      <w:r w:rsidR="00133632" w:rsidRPr="00253D13">
        <w:rPr>
          <w:rFonts w:ascii="Times New Roman" w:hAnsi="Times New Roman" w:cs="Times New Roman"/>
        </w:rPr>
        <w:t>he small island character of the country</w:t>
      </w:r>
      <w:r w:rsidRPr="00253D13">
        <w:rPr>
          <w:rFonts w:ascii="Times New Roman" w:hAnsi="Times New Roman" w:cs="Times New Roman"/>
        </w:rPr>
        <w:t>,</w:t>
      </w:r>
      <w:r w:rsidR="00133632" w:rsidRPr="00253D13">
        <w:rPr>
          <w:rFonts w:ascii="Times New Roman" w:hAnsi="Times New Roman" w:cs="Times New Roman"/>
        </w:rPr>
        <w:t xml:space="preserve"> with its </w:t>
      </w:r>
      <w:r w:rsidR="00A924AC">
        <w:rPr>
          <w:rFonts w:ascii="Times New Roman" w:hAnsi="Times New Roman" w:cs="Times New Roman"/>
        </w:rPr>
        <w:t>Ridge-</w:t>
      </w:r>
      <w:r w:rsidR="00133632" w:rsidRPr="00253D13">
        <w:rPr>
          <w:rFonts w:ascii="Times New Roman" w:hAnsi="Times New Roman" w:cs="Times New Roman"/>
        </w:rPr>
        <w:t>to</w:t>
      </w:r>
      <w:r w:rsidR="00A924AC">
        <w:rPr>
          <w:rFonts w:ascii="Times New Roman" w:hAnsi="Times New Roman" w:cs="Times New Roman"/>
        </w:rPr>
        <w:t>-R</w:t>
      </w:r>
      <w:r w:rsidR="00133632" w:rsidRPr="00253D13">
        <w:rPr>
          <w:rFonts w:ascii="Times New Roman" w:hAnsi="Times New Roman" w:cs="Times New Roman"/>
        </w:rPr>
        <w:t xml:space="preserve">eef environmental impacts and contested </w:t>
      </w:r>
      <w:r w:rsidRPr="00253D13">
        <w:rPr>
          <w:rFonts w:ascii="Times New Roman" w:hAnsi="Times New Roman" w:cs="Times New Roman"/>
        </w:rPr>
        <w:t>use of landscapes and seascapes,</w:t>
      </w:r>
      <w:r w:rsidR="00133632" w:rsidRPr="00253D13">
        <w:rPr>
          <w:rFonts w:ascii="Times New Roman" w:hAnsi="Times New Roman" w:cs="Times New Roman"/>
        </w:rPr>
        <w:t xml:space="preserve"> call</w:t>
      </w:r>
      <w:r w:rsidRPr="00253D13">
        <w:rPr>
          <w:rFonts w:ascii="Times New Roman" w:hAnsi="Times New Roman" w:cs="Times New Roman"/>
        </w:rPr>
        <w:t>s</w:t>
      </w:r>
      <w:r w:rsidR="00133632" w:rsidRPr="00253D13">
        <w:rPr>
          <w:rFonts w:ascii="Times New Roman" w:hAnsi="Times New Roman" w:cs="Times New Roman"/>
        </w:rPr>
        <w:t xml:space="preserve"> for </w:t>
      </w:r>
      <w:r w:rsidRPr="00253D13">
        <w:rPr>
          <w:rFonts w:ascii="Times New Roman" w:hAnsi="Times New Roman" w:cs="Times New Roman"/>
        </w:rPr>
        <w:t>a</w:t>
      </w:r>
      <w:r w:rsidR="00133632" w:rsidRPr="00253D13">
        <w:rPr>
          <w:rFonts w:ascii="Times New Roman" w:hAnsi="Times New Roman" w:cs="Times New Roman"/>
        </w:rPr>
        <w:t xml:space="preserve"> unique programmatic response. T</w:t>
      </w:r>
      <w:r w:rsidRPr="00253D13">
        <w:rPr>
          <w:rFonts w:ascii="Times New Roman" w:hAnsi="Times New Roman" w:cs="Times New Roman"/>
        </w:rPr>
        <w:t>hrough this Output, t</w:t>
      </w:r>
      <w:r w:rsidR="00133632" w:rsidRPr="00253D13">
        <w:rPr>
          <w:rFonts w:ascii="Times New Roman" w:hAnsi="Times New Roman" w:cs="Times New Roman"/>
        </w:rPr>
        <w:t>he project accommodates the space-based approach to PAs where representations of the biodiversity would be protected using various tactics</w:t>
      </w:r>
      <w:r w:rsidRPr="00253D13">
        <w:rPr>
          <w:rFonts w:ascii="Times New Roman" w:hAnsi="Times New Roman" w:cs="Times New Roman"/>
        </w:rPr>
        <w:t>,</w:t>
      </w:r>
      <w:r w:rsidR="00133632" w:rsidRPr="00253D13">
        <w:rPr>
          <w:rFonts w:ascii="Times New Roman" w:hAnsi="Times New Roman" w:cs="Times New Roman"/>
        </w:rPr>
        <w:t xml:space="preserve"> such as area closures, season closures, resource use restrictions with regard</w:t>
      </w:r>
      <w:r w:rsidR="00A924AC">
        <w:rPr>
          <w:rFonts w:ascii="Times New Roman" w:hAnsi="Times New Roman" w:cs="Times New Roman"/>
        </w:rPr>
        <w:t>s to extraction and with full consideration</w:t>
      </w:r>
      <w:r w:rsidR="00133632" w:rsidRPr="00253D13">
        <w:rPr>
          <w:rFonts w:ascii="Times New Roman" w:hAnsi="Times New Roman" w:cs="Times New Roman"/>
        </w:rPr>
        <w:t xml:space="preserve"> for both traditional and ‘more-recent’ </w:t>
      </w:r>
      <w:r w:rsidR="00133632" w:rsidRPr="00387BB2">
        <w:rPr>
          <w:rFonts w:ascii="Times New Roman" w:hAnsi="Times New Roman" w:cs="Times New Roman"/>
        </w:rPr>
        <w:t xml:space="preserve">livelihood opportunities. </w:t>
      </w:r>
    </w:p>
    <w:p w14:paraId="7E952E3D" w:rsidR="00133632" w:rsidRPr="00387BB2" w:rsidRDefault="00253D1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7BB2">
        <w:rPr>
          <w:rFonts w:ascii="Times New Roman" w:hAnsi="Times New Roman" w:cs="Times New Roman"/>
        </w:rPr>
        <w:t xml:space="preserve">This Output recognizes the complexity of </w:t>
      </w:r>
      <w:r w:rsidR="00133632" w:rsidRPr="00387BB2">
        <w:rPr>
          <w:rFonts w:ascii="Times New Roman" w:hAnsi="Times New Roman" w:cs="Times New Roman"/>
        </w:rPr>
        <w:t xml:space="preserve">management of the BD and the ecosystems functions in </w:t>
      </w:r>
      <w:r w:rsidRPr="00387BB2">
        <w:rPr>
          <w:rFonts w:ascii="Times New Roman" w:hAnsi="Times New Roman" w:cs="Times New Roman"/>
        </w:rPr>
        <w:t>PAs as they relate</w:t>
      </w:r>
      <w:r w:rsidR="00133632" w:rsidRPr="00387BB2">
        <w:rPr>
          <w:rFonts w:ascii="Times New Roman" w:hAnsi="Times New Roman" w:cs="Times New Roman"/>
        </w:rPr>
        <w:t xml:space="preserve"> to the inevitable </w:t>
      </w:r>
      <w:r w:rsidR="00D52CAF">
        <w:rPr>
          <w:rFonts w:ascii="Times New Roman" w:hAnsi="Times New Roman" w:cs="Times New Roman"/>
        </w:rPr>
        <w:t>“</w:t>
      </w:r>
      <w:r w:rsidR="00133632" w:rsidRPr="00387BB2">
        <w:rPr>
          <w:rFonts w:ascii="Times New Roman" w:hAnsi="Times New Roman" w:cs="Times New Roman"/>
        </w:rPr>
        <w:t>contest</w:t>
      </w:r>
      <w:r w:rsidR="00D52CAF">
        <w:rPr>
          <w:rFonts w:ascii="Times New Roman" w:hAnsi="Times New Roman" w:cs="Times New Roman"/>
        </w:rPr>
        <w:t>”</w:t>
      </w:r>
      <w:r w:rsidR="00133632" w:rsidRPr="00387BB2">
        <w:rPr>
          <w:rFonts w:ascii="Times New Roman" w:hAnsi="Times New Roman" w:cs="Times New Roman"/>
        </w:rPr>
        <w:t xml:space="preserve"> between the uses of landscapes as water source and the use of these same landscapes for farming crop</w:t>
      </w:r>
      <w:r w:rsidR="00387BB2" w:rsidRPr="00387BB2">
        <w:rPr>
          <w:rFonts w:ascii="Times New Roman" w:hAnsi="Times New Roman" w:cs="Times New Roman"/>
        </w:rPr>
        <w:t>s</w:t>
      </w:r>
      <w:r w:rsidR="00133632" w:rsidRPr="00387BB2">
        <w:rPr>
          <w:rFonts w:ascii="Times New Roman" w:hAnsi="Times New Roman" w:cs="Times New Roman"/>
        </w:rPr>
        <w:t xml:space="preserve"> and livestock. This contest </w:t>
      </w:r>
      <w:r w:rsidR="00A924AC">
        <w:rPr>
          <w:rFonts w:ascii="Times New Roman" w:hAnsi="Times New Roman" w:cs="Times New Roman"/>
        </w:rPr>
        <w:t xml:space="preserve">exists throughout </w:t>
      </w:r>
      <w:r w:rsidR="00133632" w:rsidRPr="00387BB2">
        <w:rPr>
          <w:rFonts w:ascii="Times New Roman" w:hAnsi="Times New Roman" w:cs="Times New Roman"/>
        </w:rPr>
        <w:t xml:space="preserve">the whole island, </w:t>
      </w:r>
      <w:r w:rsidR="00A924AC">
        <w:rPr>
          <w:rFonts w:ascii="Times New Roman" w:hAnsi="Times New Roman" w:cs="Times New Roman"/>
        </w:rPr>
        <w:t>which is primarily</w:t>
      </w:r>
      <w:r w:rsidR="00133632" w:rsidRPr="00387BB2">
        <w:rPr>
          <w:rFonts w:ascii="Times New Roman" w:hAnsi="Times New Roman" w:cs="Times New Roman"/>
        </w:rPr>
        <w:t xml:space="preserve"> a vertically unprotected l</w:t>
      </w:r>
      <w:r w:rsidRPr="00387BB2">
        <w:rPr>
          <w:rFonts w:ascii="Times New Roman" w:hAnsi="Times New Roman" w:cs="Times New Roman"/>
        </w:rPr>
        <w:t>andscape composed of mini-water</w:t>
      </w:r>
      <w:r w:rsidR="00133632" w:rsidRPr="00387BB2">
        <w:rPr>
          <w:rFonts w:ascii="Times New Roman" w:hAnsi="Times New Roman" w:cs="Times New Roman"/>
        </w:rPr>
        <w:t>sheds providing the island</w:t>
      </w:r>
      <w:r w:rsidRPr="00387BB2">
        <w:rPr>
          <w:rFonts w:ascii="Times New Roman" w:hAnsi="Times New Roman" w:cs="Times New Roman"/>
        </w:rPr>
        <w:t>’</w:t>
      </w:r>
      <w:r w:rsidR="00133632" w:rsidRPr="00387BB2">
        <w:rPr>
          <w:rFonts w:ascii="Times New Roman" w:hAnsi="Times New Roman" w:cs="Times New Roman"/>
        </w:rPr>
        <w:t>s water source, but impacted by wastes from farmers using self-produc</w:t>
      </w:r>
      <w:r w:rsidRPr="00387BB2">
        <w:rPr>
          <w:rFonts w:ascii="Times New Roman" w:hAnsi="Times New Roman" w:cs="Times New Roman"/>
        </w:rPr>
        <w:t>ed</w:t>
      </w:r>
      <w:r w:rsidR="00133632" w:rsidRPr="00387BB2">
        <w:rPr>
          <w:rFonts w:ascii="Times New Roman" w:hAnsi="Times New Roman" w:cs="Times New Roman"/>
        </w:rPr>
        <w:t xml:space="preserve"> tillage practices and applying fertilizers and pesticides </w:t>
      </w:r>
      <w:r w:rsidRPr="00387BB2">
        <w:rPr>
          <w:rFonts w:ascii="Times New Roman" w:hAnsi="Times New Roman" w:cs="Times New Roman"/>
        </w:rPr>
        <w:t xml:space="preserve">that </w:t>
      </w:r>
      <w:r w:rsidR="00133632" w:rsidRPr="00387BB2">
        <w:rPr>
          <w:rFonts w:ascii="Times New Roman" w:hAnsi="Times New Roman" w:cs="Times New Roman"/>
        </w:rPr>
        <w:t>generat</w:t>
      </w:r>
      <w:r w:rsidRPr="00387BB2">
        <w:rPr>
          <w:rFonts w:ascii="Times New Roman" w:hAnsi="Times New Roman" w:cs="Times New Roman"/>
        </w:rPr>
        <w:t xml:space="preserve">e </w:t>
      </w:r>
      <w:r w:rsidR="00133632" w:rsidRPr="00387BB2">
        <w:rPr>
          <w:rFonts w:ascii="Times New Roman" w:hAnsi="Times New Roman" w:cs="Times New Roman"/>
        </w:rPr>
        <w:t xml:space="preserve">residues that seep down the landscapes and </w:t>
      </w:r>
      <w:r w:rsidRPr="00387BB2">
        <w:rPr>
          <w:rFonts w:ascii="Times New Roman" w:hAnsi="Times New Roman" w:cs="Times New Roman"/>
        </w:rPr>
        <w:t>i</w:t>
      </w:r>
      <w:r w:rsidR="00133632" w:rsidRPr="00387BB2">
        <w:rPr>
          <w:rFonts w:ascii="Times New Roman" w:hAnsi="Times New Roman" w:cs="Times New Roman"/>
        </w:rPr>
        <w:t>nto seascapes. The contest between ecosystems service functions also shows up in the impact of two land-based point source outfalls of sewage on sea zones.</w:t>
      </w:r>
      <w:r w:rsidR="00853873" w:rsidRPr="00387BB2">
        <w:rPr>
          <w:rFonts w:ascii="Times New Roman" w:hAnsi="Times New Roman" w:cs="Times New Roman"/>
        </w:rPr>
        <w:t xml:space="preserve"> </w:t>
      </w:r>
      <w:r w:rsidR="00133632" w:rsidRPr="00387BB2">
        <w:rPr>
          <w:rFonts w:ascii="Times New Roman" w:hAnsi="Times New Roman" w:cs="Times New Roman"/>
        </w:rPr>
        <w:t xml:space="preserve">Overall, the challenge </w:t>
      </w:r>
      <w:r w:rsidR="00387BB2" w:rsidRPr="00387BB2">
        <w:rPr>
          <w:rFonts w:ascii="Times New Roman" w:hAnsi="Times New Roman" w:cs="Times New Roman"/>
        </w:rPr>
        <w:t>to be dealt with through this Output</w:t>
      </w:r>
      <w:r w:rsidR="00133632" w:rsidRPr="00387BB2">
        <w:rPr>
          <w:rFonts w:ascii="Times New Roman" w:hAnsi="Times New Roman" w:cs="Times New Roman"/>
        </w:rPr>
        <w:t xml:space="preserve"> is not merely a dilemma for choice of use of the landscapes and seascapes</w:t>
      </w:r>
      <w:r w:rsidR="00387BB2" w:rsidRPr="00387BB2">
        <w:rPr>
          <w:rFonts w:ascii="Times New Roman" w:hAnsi="Times New Roman" w:cs="Times New Roman"/>
        </w:rPr>
        <w:t>,</w:t>
      </w:r>
      <w:r w:rsidR="00133632" w:rsidRPr="00387BB2">
        <w:rPr>
          <w:rFonts w:ascii="Times New Roman" w:hAnsi="Times New Roman" w:cs="Times New Roman"/>
        </w:rPr>
        <w:t xml:space="preserve"> either for utilization as water source or for farming</w:t>
      </w:r>
      <w:r w:rsidR="00387BB2" w:rsidRPr="00387BB2">
        <w:rPr>
          <w:rFonts w:ascii="Times New Roman" w:hAnsi="Times New Roman" w:cs="Times New Roman"/>
        </w:rPr>
        <w:t>,</w:t>
      </w:r>
      <w:r w:rsidR="00133632" w:rsidRPr="00387BB2">
        <w:rPr>
          <w:rFonts w:ascii="Times New Roman" w:hAnsi="Times New Roman" w:cs="Times New Roman"/>
        </w:rPr>
        <w:t xml:space="preserve"> but as an optimization that minimize</w:t>
      </w:r>
      <w:r w:rsidR="00387BB2" w:rsidRPr="00387BB2">
        <w:rPr>
          <w:rFonts w:ascii="Times New Roman" w:hAnsi="Times New Roman" w:cs="Times New Roman"/>
        </w:rPr>
        <w:t>s</w:t>
      </w:r>
      <w:r w:rsidR="00133632" w:rsidRPr="00387BB2">
        <w:rPr>
          <w:rFonts w:ascii="Times New Roman" w:hAnsi="Times New Roman" w:cs="Times New Roman"/>
        </w:rPr>
        <w:t xml:space="preserve"> threats to and impacts on the BD and ecosystems functions utilized by both of these and their maximized benefit for both at the same time. The project must therefore meet the objective of ensuring that biodiversity and ecosystem functions within and around </w:t>
      </w:r>
      <w:r w:rsidR="009F7F82">
        <w:rPr>
          <w:rFonts w:ascii="Times New Roman" w:hAnsi="Times New Roman" w:cs="Times New Roman"/>
        </w:rPr>
        <w:t>MPAs</w:t>
      </w:r>
      <w:r w:rsidR="00133632" w:rsidRPr="00387BB2">
        <w:rPr>
          <w:rFonts w:ascii="Times New Roman" w:hAnsi="Times New Roman" w:cs="Times New Roman"/>
        </w:rPr>
        <w:t xml:space="preserve"> and </w:t>
      </w:r>
      <w:r w:rsidR="009F7F82">
        <w:rPr>
          <w:rFonts w:ascii="Times New Roman" w:hAnsi="Times New Roman" w:cs="Times New Roman"/>
        </w:rPr>
        <w:t>T</w:t>
      </w:r>
      <w:r w:rsidR="00133632" w:rsidRPr="00387BB2">
        <w:rPr>
          <w:rFonts w:ascii="Times New Roman" w:hAnsi="Times New Roman" w:cs="Times New Roman"/>
        </w:rPr>
        <w:t xml:space="preserve">PAs in Grenada are better protected from threats through the adoption of the </w:t>
      </w:r>
      <w:r w:rsidR="009F7F82">
        <w:rPr>
          <w:rFonts w:ascii="Times New Roman" w:hAnsi="Times New Roman" w:cs="Times New Roman"/>
        </w:rPr>
        <w:t>Ridge-to-R</w:t>
      </w:r>
      <w:r w:rsidR="00133632" w:rsidRPr="00387BB2">
        <w:rPr>
          <w:rFonts w:ascii="Times New Roman" w:hAnsi="Times New Roman" w:cs="Times New Roman"/>
        </w:rPr>
        <w:t>eef approach, by recognizing that space-based P</w:t>
      </w:r>
      <w:r w:rsidR="00387BB2">
        <w:rPr>
          <w:rFonts w:ascii="Times New Roman" w:hAnsi="Times New Roman" w:cs="Times New Roman"/>
        </w:rPr>
        <w:t>A</w:t>
      </w:r>
      <w:r w:rsidR="00133632" w:rsidRPr="00387BB2">
        <w:rPr>
          <w:rFonts w:ascii="Times New Roman" w:hAnsi="Times New Roman" w:cs="Times New Roman"/>
        </w:rPr>
        <w:t xml:space="preserve"> management with consideration for adjacent landscapes must be coupled with ecosystems services-based manag</w:t>
      </w:r>
      <w:r w:rsidR="00387BB2" w:rsidRPr="00387BB2">
        <w:rPr>
          <w:rFonts w:ascii="Times New Roman" w:hAnsi="Times New Roman" w:cs="Times New Roman"/>
        </w:rPr>
        <w:t>ement that sees the whole space-</w:t>
      </w:r>
      <w:r w:rsidR="00133632" w:rsidRPr="00387BB2">
        <w:rPr>
          <w:rFonts w:ascii="Times New Roman" w:hAnsi="Times New Roman" w:cs="Times New Roman"/>
        </w:rPr>
        <w:t xml:space="preserve">water source of the island as a PA. </w:t>
      </w:r>
    </w:p>
    <w:p w14:paraId="32B3A897" w:rsidR="00133632" w:rsidRPr="00387BB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7BB2">
        <w:rPr>
          <w:rFonts w:ascii="Times New Roman" w:hAnsi="Times New Roman" w:cs="Times New Roman"/>
        </w:rPr>
        <w:t xml:space="preserve">The mainstreaming or institutionalization of a network of TPAs and MPAs into the annual recurrent programs that are budgeted for by Government will have to involve several planned activities that </w:t>
      </w:r>
      <w:r w:rsidR="00387BB2" w:rsidRPr="00387BB2">
        <w:rPr>
          <w:rFonts w:ascii="Times New Roman" w:hAnsi="Times New Roman" w:cs="Times New Roman"/>
        </w:rPr>
        <w:t>will</w:t>
      </w:r>
      <w:r w:rsidRPr="00387BB2">
        <w:rPr>
          <w:rFonts w:ascii="Times New Roman" w:hAnsi="Times New Roman" w:cs="Times New Roman"/>
        </w:rPr>
        <w:t xml:space="preserve"> be initiated within the project period and then accommodated within </w:t>
      </w:r>
      <w:r w:rsidR="00387BB2" w:rsidRPr="00387BB2">
        <w:rPr>
          <w:rFonts w:ascii="Times New Roman" w:hAnsi="Times New Roman" w:cs="Times New Roman"/>
        </w:rPr>
        <w:t xml:space="preserve">the </w:t>
      </w:r>
      <w:r w:rsidRPr="00387BB2">
        <w:rPr>
          <w:rFonts w:ascii="Times New Roman" w:hAnsi="Times New Roman" w:cs="Times New Roman"/>
        </w:rPr>
        <w:t>Government</w:t>
      </w:r>
      <w:r w:rsidR="00387BB2" w:rsidRPr="00387BB2">
        <w:rPr>
          <w:rFonts w:ascii="Times New Roman" w:hAnsi="Times New Roman" w:cs="Times New Roman"/>
        </w:rPr>
        <w:t>’</w:t>
      </w:r>
      <w:r w:rsidRPr="00387BB2">
        <w:rPr>
          <w:rFonts w:ascii="Times New Roman" w:hAnsi="Times New Roman" w:cs="Times New Roman"/>
        </w:rPr>
        <w:t xml:space="preserve">s list of programs </w:t>
      </w:r>
      <w:r w:rsidR="009F7F82">
        <w:rPr>
          <w:rFonts w:ascii="Times New Roman" w:hAnsi="Times New Roman" w:cs="Times New Roman"/>
        </w:rPr>
        <w:t xml:space="preserve">for continuation </w:t>
      </w:r>
      <w:r w:rsidR="002D23A0">
        <w:rPr>
          <w:rFonts w:ascii="Times New Roman" w:hAnsi="Times New Roman" w:cs="Times New Roman"/>
        </w:rPr>
        <w:t>after project end</w:t>
      </w:r>
      <w:r w:rsidRPr="00387BB2">
        <w:rPr>
          <w:rFonts w:ascii="Times New Roman" w:hAnsi="Times New Roman" w:cs="Times New Roman"/>
        </w:rPr>
        <w:t xml:space="preserve">. Such project activities include the formulation and establishment of a Coral </w:t>
      </w:r>
      <w:r w:rsidR="009F7F82">
        <w:rPr>
          <w:rFonts w:ascii="Times New Roman" w:hAnsi="Times New Roman" w:cs="Times New Roman"/>
        </w:rPr>
        <w:t>R</w:t>
      </w:r>
      <w:r w:rsidRPr="00387BB2">
        <w:rPr>
          <w:rFonts w:ascii="Times New Roman" w:hAnsi="Times New Roman" w:cs="Times New Roman"/>
        </w:rPr>
        <w:t xml:space="preserve">eef Resilience </w:t>
      </w:r>
      <w:r w:rsidR="009F7F82">
        <w:rPr>
          <w:rFonts w:ascii="Times New Roman" w:hAnsi="Times New Roman" w:cs="Times New Roman"/>
        </w:rPr>
        <w:t>P</w:t>
      </w:r>
      <w:r w:rsidRPr="00387BB2">
        <w:rPr>
          <w:rFonts w:ascii="Times New Roman" w:hAnsi="Times New Roman" w:cs="Times New Roman"/>
        </w:rPr>
        <w:t xml:space="preserve">rogram at a demonstration site at the Sandy Island/ Oyster Bed MPA. </w:t>
      </w:r>
      <w:r w:rsidR="009F7F82">
        <w:rPr>
          <w:rFonts w:ascii="Times New Roman" w:hAnsi="Times New Roman" w:cs="Times New Roman"/>
        </w:rPr>
        <w:t>T</w:t>
      </w:r>
      <w:r w:rsidRPr="00387BB2">
        <w:rPr>
          <w:rFonts w:ascii="Times New Roman" w:hAnsi="Times New Roman" w:cs="Times New Roman"/>
        </w:rPr>
        <w:t>his activity</w:t>
      </w:r>
      <w:r w:rsidR="009F7F82">
        <w:rPr>
          <w:rFonts w:ascii="Times New Roman" w:hAnsi="Times New Roman" w:cs="Times New Roman"/>
        </w:rPr>
        <w:t xml:space="preserve"> includes</w:t>
      </w:r>
      <w:r w:rsidRPr="00387BB2">
        <w:rPr>
          <w:rFonts w:ascii="Times New Roman" w:hAnsi="Times New Roman" w:cs="Times New Roman"/>
        </w:rPr>
        <w:t xml:space="preserve"> a well-designed protocol for monitoring, measurement, evaluation and response (to identifiable impacts) involv</w:t>
      </w:r>
      <w:r w:rsidR="009F7F82">
        <w:rPr>
          <w:rFonts w:ascii="Times New Roman" w:hAnsi="Times New Roman" w:cs="Times New Roman"/>
        </w:rPr>
        <w:t>ing</w:t>
      </w:r>
      <w:r w:rsidRPr="00387BB2">
        <w:rPr>
          <w:rFonts w:ascii="Times New Roman" w:hAnsi="Times New Roman" w:cs="Times New Roman"/>
        </w:rPr>
        <w:t xml:space="preserve"> centers of excellence such as CEHI, SGU, UWI, NAWASA</w:t>
      </w:r>
      <w:r w:rsidR="00387BB2" w:rsidRPr="00387BB2">
        <w:rPr>
          <w:rFonts w:ascii="Times New Roman" w:hAnsi="Times New Roman" w:cs="Times New Roman"/>
        </w:rPr>
        <w:t>,</w:t>
      </w:r>
      <w:r w:rsidRPr="00387BB2">
        <w:rPr>
          <w:rFonts w:ascii="Times New Roman" w:hAnsi="Times New Roman" w:cs="Times New Roman"/>
        </w:rPr>
        <w:t xml:space="preserve"> together with local area persons and the Competent Authorities for MPA</w:t>
      </w:r>
      <w:r w:rsidR="00387BB2" w:rsidRPr="00387BB2">
        <w:rPr>
          <w:rFonts w:ascii="Times New Roman" w:hAnsi="Times New Roman" w:cs="Times New Roman"/>
        </w:rPr>
        <w:t xml:space="preserve"> management</w:t>
      </w:r>
      <w:r w:rsidRPr="00387BB2">
        <w:rPr>
          <w:rFonts w:ascii="Times New Roman" w:hAnsi="Times New Roman" w:cs="Times New Roman"/>
        </w:rPr>
        <w:t xml:space="preserve"> (Fisheries Division). Regional projects such as the GIZ funded</w:t>
      </w:r>
      <w:r w:rsidR="00AD045E" w:rsidRPr="00387BB2">
        <w:rPr>
          <w:rFonts w:ascii="Times New Roman" w:hAnsi="Times New Roman" w:cs="Times New Roman"/>
        </w:rPr>
        <w:t xml:space="preserve"> </w:t>
      </w:r>
      <w:r w:rsidR="009F7F82" w:rsidRPr="009F7F82">
        <w:rPr>
          <w:rFonts w:ascii="Times New Roman" w:hAnsi="Times New Roman" w:cs="Times New Roman"/>
        </w:rPr>
        <w:t>“</w:t>
      </w:r>
      <w:r w:rsidR="009F7F82" w:rsidRPr="009F7F82">
        <w:rPr>
          <w:rFonts w:ascii="Times New Roman" w:hAnsi="Times New Roman" w:cs="Times New Roman"/>
          <w:i/>
        </w:rPr>
        <w:t>Improving the Management of Coastal Resources and the Conservation of the Marine Biodiversity in the Caribbean Region</w:t>
      </w:r>
      <w:r w:rsidR="009F7F82" w:rsidRPr="009F7F82">
        <w:rPr>
          <w:rFonts w:ascii="Times New Roman" w:hAnsi="Times New Roman" w:cs="Times New Roman"/>
        </w:rPr>
        <w:t>” and “</w:t>
      </w:r>
      <w:r w:rsidR="009F7F82" w:rsidRPr="009F7F82">
        <w:rPr>
          <w:rFonts w:ascii="Times New Roman" w:hAnsi="Times New Roman" w:cs="Times New Roman"/>
          <w:i/>
        </w:rPr>
        <w:t>Enhancing the Adaptive Capacity of Rural Economies and Natural Resources to Climate Change in selected Caribbean Small Island and Low Lying Coastal Developing States</w:t>
      </w:r>
      <w:r w:rsidR="009F7F82" w:rsidRPr="009F7F82">
        <w:rPr>
          <w:rFonts w:ascii="Times New Roman" w:hAnsi="Times New Roman" w:cs="Times New Roman"/>
        </w:rPr>
        <w:t>”</w:t>
      </w:r>
      <w:r w:rsidR="009F7F82">
        <w:rPr>
          <w:rFonts w:ascii="Times New Roman" w:hAnsi="Times New Roman" w:cs="Times New Roman"/>
        </w:rPr>
        <w:t xml:space="preserve"> </w:t>
      </w:r>
      <w:r w:rsidRPr="00387BB2">
        <w:rPr>
          <w:rFonts w:ascii="Times New Roman" w:hAnsi="Times New Roman" w:cs="Times New Roman"/>
        </w:rPr>
        <w:t xml:space="preserve">are identified as potential co-programmers for this activity during the period that they are concurrent with the Grenada Ridge to Reef project. </w:t>
      </w:r>
    </w:p>
    <w:p w14:paraId="55900E62" w:rsidR="00133632" w:rsidRPr="003D219A" w:rsidRDefault="00387BB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D219A">
        <w:rPr>
          <w:rFonts w:ascii="Times New Roman" w:hAnsi="Times New Roman" w:cs="Times New Roman"/>
        </w:rPr>
        <w:t>To further support the process of institutionalization of the PA network,  this Output will engage</w:t>
      </w:r>
      <w:r w:rsidR="00133632" w:rsidRPr="003D219A">
        <w:rPr>
          <w:rFonts w:ascii="Times New Roman" w:hAnsi="Times New Roman" w:cs="Times New Roman"/>
        </w:rPr>
        <w:t xml:space="preserve"> a Sustainable Forest Management initiative that focus</w:t>
      </w:r>
      <w:r w:rsidRPr="003D219A">
        <w:rPr>
          <w:rFonts w:ascii="Times New Roman" w:hAnsi="Times New Roman" w:cs="Times New Roman"/>
        </w:rPr>
        <w:t>es</w:t>
      </w:r>
      <w:r w:rsidR="00133632" w:rsidRPr="003D219A">
        <w:rPr>
          <w:rFonts w:ascii="Times New Roman" w:hAnsi="Times New Roman" w:cs="Times New Roman"/>
        </w:rPr>
        <w:t xml:space="preserve"> on </w:t>
      </w:r>
      <w:r w:rsidRPr="003D219A">
        <w:rPr>
          <w:rFonts w:ascii="Times New Roman" w:hAnsi="Times New Roman" w:cs="Times New Roman"/>
        </w:rPr>
        <w:t xml:space="preserve">the </w:t>
      </w:r>
      <w:r w:rsidR="00133632" w:rsidRPr="003D219A">
        <w:rPr>
          <w:rFonts w:ascii="Times New Roman" w:hAnsi="Times New Roman" w:cs="Times New Roman"/>
        </w:rPr>
        <w:t>prevention of forest fires, management of ‘slash and burn’ practices of local area subsistence farmers</w:t>
      </w:r>
      <w:r w:rsidR="003D219A" w:rsidRPr="003D219A">
        <w:rPr>
          <w:rFonts w:ascii="Times New Roman" w:hAnsi="Times New Roman" w:cs="Times New Roman"/>
        </w:rPr>
        <w:t>,</w:t>
      </w:r>
      <w:r w:rsidR="00133632" w:rsidRPr="003D219A">
        <w:rPr>
          <w:rFonts w:ascii="Times New Roman" w:hAnsi="Times New Roman" w:cs="Times New Roman"/>
        </w:rPr>
        <w:t xml:space="preserve"> and national management of housing and other urban development</w:t>
      </w:r>
      <w:r w:rsidR="003D219A" w:rsidRPr="003D219A">
        <w:rPr>
          <w:rFonts w:ascii="Times New Roman" w:hAnsi="Times New Roman" w:cs="Times New Roman"/>
        </w:rPr>
        <w:t>,</w:t>
      </w:r>
      <w:r w:rsidR="00133632" w:rsidRPr="003D219A">
        <w:rPr>
          <w:rFonts w:ascii="Times New Roman" w:hAnsi="Times New Roman" w:cs="Times New Roman"/>
        </w:rPr>
        <w:t xml:space="preserve"> including tourism-based livelihood activities that uncontrollably encroach on forested landscapes. Since such threats are human generated, the project </w:t>
      </w:r>
      <w:r w:rsidR="003D219A" w:rsidRPr="003D219A">
        <w:rPr>
          <w:rFonts w:ascii="Times New Roman" w:hAnsi="Times New Roman" w:cs="Times New Roman"/>
        </w:rPr>
        <w:t>will</w:t>
      </w:r>
      <w:r w:rsidR="00133632" w:rsidRPr="003D219A">
        <w:rPr>
          <w:rFonts w:ascii="Times New Roman" w:hAnsi="Times New Roman" w:cs="Times New Roman"/>
        </w:rPr>
        <w:t xml:space="preserve"> engage both Competent Authorities for SLS, SFM and local </w:t>
      </w:r>
      <w:r w:rsidR="002D23A0">
        <w:rPr>
          <w:rFonts w:ascii="Times New Roman" w:hAnsi="Times New Roman" w:cs="Times New Roman"/>
        </w:rPr>
        <w:t>stakeholders</w:t>
      </w:r>
      <w:r w:rsidR="00133632" w:rsidRPr="003D219A">
        <w:rPr>
          <w:rFonts w:ascii="Times New Roman" w:hAnsi="Times New Roman" w:cs="Times New Roman"/>
        </w:rPr>
        <w:t xml:space="preserve"> in addressing</w:t>
      </w:r>
      <w:r w:rsidR="002D23A0">
        <w:rPr>
          <w:rFonts w:ascii="Times New Roman" w:hAnsi="Times New Roman" w:cs="Times New Roman"/>
        </w:rPr>
        <w:t xml:space="preserve"> such</w:t>
      </w:r>
      <w:r w:rsidR="00133632" w:rsidRPr="003D219A">
        <w:rPr>
          <w:rFonts w:ascii="Times New Roman" w:hAnsi="Times New Roman" w:cs="Times New Roman"/>
        </w:rPr>
        <w:t xml:space="preserve"> problems. Additionally, NGO development agencies will be incorporated in the efforts toward remedying such community-based issues. The project will</w:t>
      </w:r>
      <w:r w:rsidR="002D23A0">
        <w:rPr>
          <w:rFonts w:ascii="Times New Roman" w:hAnsi="Times New Roman" w:cs="Times New Roman"/>
        </w:rPr>
        <w:t>,</w:t>
      </w:r>
      <w:r w:rsidR="00133632" w:rsidRPr="003D219A">
        <w:rPr>
          <w:rFonts w:ascii="Times New Roman" w:hAnsi="Times New Roman" w:cs="Times New Roman"/>
        </w:rPr>
        <w:t xml:space="preserve"> therefore</w:t>
      </w:r>
      <w:r w:rsidR="002D23A0">
        <w:rPr>
          <w:rFonts w:ascii="Times New Roman" w:hAnsi="Times New Roman" w:cs="Times New Roman"/>
        </w:rPr>
        <w:t>,</w:t>
      </w:r>
      <w:r w:rsidR="00133632" w:rsidRPr="003D219A">
        <w:rPr>
          <w:rFonts w:ascii="Times New Roman" w:hAnsi="Times New Roman" w:cs="Times New Roman"/>
        </w:rPr>
        <w:t xml:space="preserve"> </w:t>
      </w:r>
      <w:r w:rsidR="002D23A0">
        <w:rPr>
          <w:rFonts w:ascii="Times New Roman" w:hAnsi="Times New Roman" w:cs="Times New Roman"/>
        </w:rPr>
        <w:t>intervene in</w:t>
      </w:r>
      <w:r w:rsidR="00133632" w:rsidRPr="003D219A">
        <w:rPr>
          <w:rFonts w:ascii="Times New Roman" w:hAnsi="Times New Roman" w:cs="Times New Roman"/>
        </w:rPr>
        <w:t xml:space="preserve"> local areas through community-based special interests groups (CBOs) such as </w:t>
      </w:r>
      <w:r w:rsidR="002D23A0">
        <w:rPr>
          <w:rFonts w:ascii="Times New Roman" w:hAnsi="Times New Roman" w:cs="Times New Roman"/>
        </w:rPr>
        <w:t xml:space="preserve">the </w:t>
      </w:r>
      <w:r w:rsidR="00133632" w:rsidRPr="003D219A">
        <w:rPr>
          <w:rFonts w:ascii="Times New Roman" w:hAnsi="Times New Roman" w:cs="Times New Roman"/>
        </w:rPr>
        <w:t xml:space="preserve">Grenada Federation of Agriculture and Fisheries Organization, </w:t>
      </w:r>
      <w:r w:rsidR="002D23A0">
        <w:rPr>
          <w:rFonts w:ascii="Times New Roman" w:hAnsi="Times New Roman" w:cs="Times New Roman"/>
        </w:rPr>
        <w:t>t</w:t>
      </w:r>
      <w:r w:rsidR="00133632" w:rsidRPr="003D219A">
        <w:rPr>
          <w:rFonts w:ascii="Times New Roman" w:hAnsi="Times New Roman" w:cs="Times New Roman"/>
        </w:rPr>
        <w:t>he Grenada Chamber of Industry and Commerce and the Grenada Hotel and Tourism Association</w:t>
      </w:r>
      <w:r w:rsidR="002D23A0">
        <w:rPr>
          <w:rFonts w:ascii="Times New Roman" w:hAnsi="Times New Roman" w:cs="Times New Roman"/>
        </w:rPr>
        <w:t>,</w:t>
      </w:r>
      <w:r w:rsidR="00133632" w:rsidRPr="003D219A">
        <w:rPr>
          <w:rFonts w:ascii="Times New Roman" w:hAnsi="Times New Roman" w:cs="Times New Roman"/>
        </w:rPr>
        <w:t xml:space="preserve"> among others. The </w:t>
      </w:r>
      <w:r w:rsidR="003D219A" w:rsidRPr="003D219A">
        <w:rPr>
          <w:rFonts w:ascii="Times New Roman" w:hAnsi="Times New Roman" w:cs="Times New Roman"/>
        </w:rPr>
        <w:t>NGOs</w:t>
      </w:r>
      <w:r w:rsidR="00133632" w:rsidRPr="003D219A">
        <w:rPr>
          <w:rFonts w:ascii="Times New Roman" w:hAnsi="Times New Roman" w:cs="Times New Roman"/>
        </w:rPr>
        <w:t xml:space="preserve"> whose charter and emphasis is to transfer skills, knowledge, competences and attitudes so as to facilitate development </w:t>
      </w:r>
      <w:r w:rsidR="002D23A0">
        <w:rPr>
          <w:rFonts w:ascii="Times New Roman" w:hAnsi="Times New Roman" w:cs="Times New Roman"/>
        </w:rPr>
        <w:t>in</w:t>
      </w:r>
      <w:r w:rsidR="00133632" w:rsidRPr="003D219A">
        <w:rPr>
          <w:rFonts w:ascii="Times New Roman" w:hAnsi="Times New Roman" w:cs="Times New Roman"/>
        </w:rPr>
        <w:t xml:space="preserve"> local communities</w:t>
      </w:r>
      <w:r w:rsidR="002D23A0">
        <w:rPr>
          <w:rFonts w:ascii="Times New Roman" w:hAnsi="Times New Roman" w:cs="Times New Roman"/>
        </w:rPr>
        <w:t>,</w:t>
      </w:r>
      <w:r w:rsidR="00133632" w:rsidRPr="003D219A">
        <w:rPr>
          <w:rFonts w:ascii="Times New Roman" w:hAnsi="Times New Roman" w:cs="Times New Roman"/>
        </w:rPr>
        <w:t xml:space="preserve"> with an emphasis on vulnerable persons</w:t>
      </w:r>
      <w:r w:rsidR="002D23A0">
        <w:rPr>
          <w:rFonts w:ascii="Times New Roman" w:hAnsi="Times New Roman" w:cs="Times New Roman"/>
        </w:rPr>
        <w:t>,</w:t>
      </w:r>
      <w:r w:rsidR="00133632" w:rsidRPr="003D219A">
        <w:rPr>
          <w:rFonts w:ascii="Times New Roman" w:hAnsi="Times New Roman" w:cs="Times New Roman"/>
        </w:rPr>
        <w:t xml:space="preserve"> include GRENCODA, ART, SPECTO, PIA and the Grenada Red Cross Society. Organizations such St. Patrick’s Environmental and Cultural Tou</w:t>
      </w:r>
      <w:r w:rsidR="002D23A0">
        <w:rPr>
          <w:rFonts w:ascii="Times New Roman" w:hAnsi="Times New Roman" w:cs="Times New Roman"/>
        </w:rPr>
        <w:t>rism Organization (SPECTO) are capable of acting</w:t>
      </w:r>
      <w:r w:rsidR="00133632" w:rsidRPr="003D219A">
        <w:rPr>
          <w:rFonts w:ascii="Times New Roman" w:hAnsi="Times New Roman" w:cs="Times New Roman"/>
        </w:rPr>
        <w:t xml:space="preserve"> as both an NGO and CBO in the process. The project </w:t>
      </w:r>
      <w:r w:rsidR="002D23A0">
        <w:rPr>
          <w:rFonts w:ascii="Times New Roman" w:hAnsi="Times New Roman" w:cs="Times New Roman"/>
        </w:rPr>
        <w:t>will</w:t>
      </w:r>
      <w:r w:rsidR="00133632" w:rsidRPr="003D219A">
        <w:rPr>
          <w:rFonts w:ascii="Times New Roman" w:hAnsi="Times New Roman" w:cs="Times New Roman"/>
        </w:rPr>
        <w:t xml:space="preserve"> incorporate Competent (Governance) Authorities with capacity to deliver Technical Assistance on behalf of Government, NGOs with capacity when provided with enabling financial and other resources</w:t>
      </w:r>
      <w:r w:rsidR="003D219A">
        <w:rPr>
          <w:rFonts w:ascii="Times New Roman" w:hAnsi="Times New Roman" w:cs="Times New Roman"/>
        </w:rPr>
        <w:t>,</w:t>
      </w:r>
      <w:r w:rsidR="00133632" w:rsidRPr="003D219A">
        <w:rPr>
          <w:rFonts w:ascii="Times New Roman" w:hAnsi="Times New Roman" w:cs="Times New Roman"/>
        </w:rPr>
        <w:t xml:space="preserve"> and CBOs with special interest in specific </w:t>
      </w:r>
      <w:r w:rsidR="002D23A0">
        <w:rPr>
          <w:rFonts w:ascii="Times New Roman" w:hAnsi="Times New Roman" w:cs="Times New Roman"/>
        </w:rPr>
        <w:t>stakeholder communities, as recipients of t</w:t>
      </w:r>
      <w:r w:rsidR="00133632" w:rsidRPr="003D219A">
        <w:rPr>
          <w:rFonts w:ascii="Times New Roman" w:hAnsi="Times New Roman" w:cs="Times New Roman"/>
        </w:rPr>
        <w:t>echnical assistance and enabling resource support</w:t>
      </w:r>
      <w:r w:rsidR="002D23A0">
        <w:rPr>
          <w:rFonts w:ascii="Times New Roman" w:hAnsi="Times New Roman" w:cs="Times New Roman"/>
        </w:rPr>
        <w:t xml:space="preserve"> for</w:t>
      </w:r>
      <w:r w:rsidR="00133632" w:rsidRPr="003D219A">
        <w:rPr>
          <w:rFonts w:ascii="Times New Roman" w:hAnsi="Times New Roman" w:cs="Times New Roman"/>
        </w:rPr>
        <w:t xml:space="preserve"> </w:t>
      </w:r>
      <w:r w:rsidR="002D23A0">
        <w:rPr>
          <w:rFonts w:ascii="Times New Roman" w:hAnsi="Times New Roman" w:cs="Times New Roman"/>
        </w:rPr>
        <w:t>SFM initiatives</w:t>
      </w:r>
      <w:r w:rsidR="00133632" w:rsidRPr="003D219A">
        <w:rPr>
          <w:rFonts w:ascii="Times New Roman" w:hAnsi="Times New Roman" w:cs="Times New Roman"/>
        </w:rPr>
        <w:t xml:space="preserve">. </w:t>
      </w:r>
    </w:p>
    <w:p w14:paraId="32E9A30A" w:rsidR="0042567A" w:rsidRPr="003D219A" w:rsidRDefault="003D219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D219A">
        <w:rPr>
          <w:rFonts w:ascii="Times New Roman" w:hAnsi="Times New Roman" w:cs="Times New Roman"/>
        </w:rPr>
        <w:t>Finally, crucial to</w:t>
      </w:r>
      <w:r w:rsidR="00133632" w:rsidRPr="003D219A">
        <w:rPr>
          <w:rFonts w:ascii="Times New Roman" w:hAnsi="Times New Roman" w:cs="Times New Roman"/>
        </w:rPr>
        <w:t xml:space="preserve"> the process of institutionalization of a national PA System is </w:t>
      </w:r>
      <w:r w:rsidRPr="003D219A">
        <w:rPr>
          <w:rFonts w:ascii="Times New Roman" w:hAnsi="Times New Roman" w:cs="Times New Roman"/>
        </w:rPr>
        <w:t xml:space="preserve">the </w:t>
      </w:r>
      <w:r w:rsidR="00133632" w:rsidRPr="003D219A">
        <w:rPr>
          <w:rFonts w:ascii="Times New Roman" w:hAnsi="Times New Roman" w:cs="Times New Roman"/>
        </w:rPr>
        <w:t>training of staff with skills, knowledge, competencies and approaches for management of PA in the context of co</w:t>
      </w:r>
      <w:r>
        <w:rPr>
          <w:rFonts w:ascii="Times New Roman" w:hAnsi="Times New Roman" w:cs="Times New Roman"/>
        </w:rPr>
        <w:t xml:space="preserve">mmunity-based co-management </w:t>
      </w:r>
      <w:r w:rsidR="00133632" w:rsidRPr="003D219A">
        <w:rPr>
          <w:rFonts w:ascii="Times New Roman" w:hAnsi="Times New Roman" w:cs="Times New Roman"/>
        </w:rPr>
        <w:t xml:space="preserve">approaches at all the new and selected existing PAs such as: Moliniere/ Beausejour, Woburn/Clarks Court Bay and Sandy Island Oyster Bed MPAs together with TPAs such as Morne Gazo, Perseverance, Grand Etang and Annadale. </w:t>
      </w:r>
      <w:r w:rsidR="0042567A" w:rsidRPr="003D219A">
        <w:rPr>
          <w:rFonts w:ascii="Times New Roman" w:hAnsi="Times New Roman" w:cs="Times New Roman"/>
        </w:rPr>
        <w:t>Specifically, capacity for effective PA management will be strengthened through training of PA staff in biophysical monitoring, data collection and analysis; enforcement of regulations; and community co-management approaches, conflict management, and the establishment and operation of site level steering committees.  Furthermore, the PA system in Grenada is moving towards a community co-management approach (Grenada</w:t>
      </w:r>
      <w:r>
        <w:rPr>
          <w:rFonts w:ascii="Times New Roman" w:hAnsi="Times New Roman" w:cs="Times New Roman"/>
        </w:rPr>
        <w:t>’s Forest Policy authorizes co-</w:t>
      </w:r>
      <w:r w:rsidR="0042567A" w:rsidRPr="003D219A">
        <w:rPr>
          <w:rFonts w:ascii="Times New Roman" w:hAnsi="Times New Roman" w:cs="Times New Roman"/>
        </w:rPr>
        <w:t xml:space="preserve">management for TPAs and existing MPA regulations are currently being revised to allow for community co-management </w:t>
      </w:r>
      <w:r w:rsidR="002D23A0">
        <w:rPr>
          <w:rFonts w:ascii="Times New Roman" w:hAnsi="Times New Roman" w:cs="Times New Roman"/>
        </w:rPr>
        <w:t>of</w:t>
      </w:r>
      <w:r w:rsidR="0042567A" w:rsidRPr="003D219A">
        <w:rPr>
          <w:rFonts w:ascii="Times New Roman" w:hAnsi="Times New Roman" w:cs="Times New Roman"/>
        </w:rPr>
        <w:t xml:space="preserve"> MPAs).  For this reason, the project will undertake training of local community groups, association</w:t>
      </w:r>
      <w:r>
        <w:rPr>
          <w:rFonts w:ascii="Times New Roman" w:hAnsi="Times New Roman" w:cs="Times New Roman"/>
        </w:rPr>
        <w:t>s</w:t>
      </w:r>
      <w:r w:rsidR="0042567A" w:rsidRPr="003D219A">
        <w:rPr>
          <w:rFonts w:ascii="Times New Roman" w:hAnsi="Times New Roman" w:cs="Times New Roman"/>
        </w:rPr>
        <w:t xml:space="preserve"> (e.g. Fisher and farmer groups)</w:t>
      </w:r>
      <w:r>
        <w:rPr>
          <w:rFonts w:ascii="Times New Roman" w:hAnsi="Times New Roman" w:cs="Times New Roman"/>
        </w:rPr>
        <w:t>,</w:t>
      </w:r>
      <w:r w:rsidR="0042567A" w:rsidRPr="003D219A">
        <w:rPr>
          <w:rFonts w:ascii="Times New Roman" w:hAnsi="Times New Roman" w:cs="Times New Roman"/>
        </w:rPr>
        <w:t xml:space="preserve"> and</w:t>
      </w:r>
      <w:r w:rsidR="002D23A0">
        <w:rPr>
          <w:rFonts w:ascii="Times New Roman" w:hAnsi="Times New Roman" w:cs="Times New Roman"/>
        </w:rPr>
        <w:t xml:space="preserve"> private sector partners (e.g. d</w:t>
      </w:r>
      <w:r w:rsidR="0042567A" w:rsidRPr="003D219A">
        <w:rPr>
          <w:rFonts w:ascii="Times New Roman" w:hAnsi="Times New Roman" w:cs="Times New Roman"/>
        </w:rPr>
        <w:t>ive shops</w:t>
      </w:r>
      <w:r w:rsidR="002D23A0">
        <w:rPr>
          <w:rFonts w:ascii="Times New Roman" w:hAnsi="Times New Roman" w:cs="Times New Roman"/>
        </w:rPr>
        <w:t xml:space="preserve"> and </w:t>
      </w:r>
      <w:r w:rsidR="0042567A" w:rsidRPr="003D219A">
        <w:rPr>
          <w:rFonts w:ascii="Times New Roman" w:hAnsi="Times New Roman" w:cs="Times New Roman"/>
        </w:rPr>
        <w:t>tourism companies) in pl</w:t>
      </w:r>
      <w:r>
        <w:rPr>
          <w:rFonts w:ascii="Times New Roman" w:hAnsi="Times New Roman" w:cs="Times New Roman"/>
        </w:rPr>
        <w:t>anning, monitoring and decision-</w:t>
      </w:r>
      <w:r w:rsidR="0042567A" w:rsidRPr="003D219A">
        <w:rPr>
          <w:rFonts w:ascii="Times New Roman" w:hAnsi="Times New Roman" w:cs="Times New Roman"/>
        </w:rPr>
        <w:t xml:space="preserve">making at all levels for PA units, including participation in site-level stakeholder management boards.  </w:t>
      </w:r>
    </w:p>
    <w:p w14:paraId="74C9DAA2" w:rsidR="00133632" w:rsidRPr="00712737" w:rsidRDefault="007919A9" w:rsidP="003D219A">
      <w:pPr>
        <w:jc w:val="both"/>
        <w:rPr>
          <w:rFonts w:ascii="Times New Roman" w:hAnsi="Times New Roman" w:cs="Times New Roman"/>
          <w:b/>
        </w:rPr>
      </w:pPr>
      <w:r w:rsidRPr="00712737">
        <w:rPr>
          <w:rFonts w:ascii="Times New Roman" w:hAnsi="Times New Roman" w:cs="Times New Roman"/>
          <w:b/>
          <w:i/>
        </w:rPr>
        <w:t xml:space="preserve">Output </w:t>
      </w:r>
      <w:r w:rsidR="00133632" w:rsidRPr="00712737">
        <w:rPr>
          <w:rFonts w:ascii="Times New Roman" w:hAnsi="Times New Roman" w:cs="Times New Roman"/>
          <w:b/>
          <w:i/>
        </w:rPr>
        <w:t>1.5 Conservation and Sustainable Use of Natural Resources</w:t>
      </w:r>
      <w:r w:rsidR="00712737" w:rsidRPr="00712737">
        <w:rPr>
          <w:rFonts w:ascii="Times New Roman" w:hAnsi="Times New Roman" w:cs="Times New Roman"/>
          <w:b/>
          <w:i/>
        </w:rPr>
        <w:t xml:space="preserve"> as a Means for Community Involvement in PA co-management</w:t>
      </w:r>
    </w:p>
    <w:p w14:paraId="73B345D0" w:rsidR="003D219A" w:rsidRDefault="0042567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D219A">
        <w:rPr>
          <w:rFonts w:ascii="Times New Roman" w:hAnsi="Times New Roman" w:cs="Times New Roman"/>
        </w:rPr>
        <w:t>Th</w:t>
      </w:r>
      <w:r w:rsidR="003D219A">
        <w:rPr>
          <w:rFonts w:ascii="Times New Roman" w:hAnsi="Times New Roman" w:cs="Times New Roman"/>
        </w:rPr>
        <w:t>rough this Output, the</w:t>
      </w:r>
      <w:r w:rsidRPr="003D219A">
        <w:rPr>
          <w:rFonts w:ascii="Times New Roman" w:hAnsi="Times New Roman" w:cs="Times New Roman"/>
        </w:rPr>
        <w:t xml:space="preserve"> project will use the conservation and sustainable use of natural resources as a means for community involvement in PA co-management.  Using lessons learned in the project “OECS Protected Areas and Associated Livelihood (OPAAL)” (2005 -2011), which implemented sustainable livelihood activities in communities around the Annandale and Grand Etang Forest Reserves, the project will empower community groups and stakeholders from villages adjacent to or within PAs to participate in the protection of biodiversity and ecosystem, functions. </w:t>
      </w:r>
      <w:r w:rsidR="003D219A" w:rsidRPr="003D219A">
        <w:rPr>
          <w:rFonts w:ascii="Times New Roman" w:hAnsi="Times New Roman" w:cs="Times New Roman"/>
        </w:rPr>
        <w:t xml:space="preserve">Three communities adjacent to MPAs and three communities adjacent to TPAs </w:t>
      </w:r>
      <w:r w:rsidR="003D219A">
        <w:rPr>
          <w:rFonts w:ascii="Times New Roman" w:hAnsi="Times New Roman" w:cs="Times New Roman"/>
        </w:rPr>
        <w:t>will</w:t>
      </w:r>
      <w:r w:rsidR="003D219A" w:rsidRPr="003D219A">
        <w:rPr>
          <w:rFonts w:ascii="Times New Roman" w:hAnsi="Times New Roman" w:cs="Times New Roman"/>
        </w:rPr>
        <w:t xml:space="preserve"> be selected for involvement in various initiatives demonstrating co-management where local area persons engage in livelihood opportunities in the context of management of the resource they ut</w:t>
      </w:r>
      <w:r w:rsidR="003D219A">
        <w:rPr>
          <w:rFonts w:ascii="Times New Roman" w:hAnsi="Times New Roman" w:cs="Times New Roman"/>
        </w:rPr>
        <w:t>ilize.</w:t>
      </w:r>
    </w:p>
    <w:p w14:paraId="137A7777" w:rsidR="003D219A" w:rsidRDefault="003D219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D219A">
        <w:rPr>
          <w:rFonts w:ascii="Times New Roman" w:hAnsi="Times New Roman" w:cs="Times New Roman"/>
        </w:rPr>
        <w:t>At the communities adjacent to MPAs</w:t>
      </w:r>
      <w:r>
        <w:rPr>
          <w:rFonts w:ascii="Times New Roman" w:hAnsi="Times New Roman" w:cs="Times New Roman"/>
        </w:rPr>
        <w:t>,</w:t>
      </w:r>
      <w:r w:rsidRPr="003D219A">
        <w:rPr>
          <w:rFonts w:ascii="Times New Roman" w:hAnsi="Times New Roman" w:cs="Times New Roman"/>
        </w:rPr>
        <w:t xml:space="preserve"> the types of livelihood initiatives that </w:t>
      </w:r>
      <w:r>
        <w:rPr>
          <w:rFonts w:ascii="Times New Roman" w:hAnsi="Times New Roman" w:cs="Times New Roman"/>
        </w:rPr>
        <w:t>will</w:t>
      </w:r>
      <w:r w:rsidRPr="003D219A">
        <w:rPr>
          <w:rFonts w:ascii="Times New Roman" w:hAnsi="Times New Roman" w:cs="Times New Roman"/>
        </w:rPr>
        <w:t xml:space="preserve"> be facilitated </w:t>
      </w:r>
      <w:r>
        <w:rPr>
          <w:rFonts w:ascii="Times New Roman" w:hAnsi="Times New Roman" w:cs="Times New Roman"/>
        </w:rPr>
        <w:t xml:space="preserve">by this Output </w:t>
      </w:r>
      <w:r w:rsidRPr="003D219A">
        <w:rPr>
          <w:rFonts w:ascii="Times New Roman" w:hAnsi="Times New Roman" w:cs="Times New Roman"/>
        </w:rPr>
        <w:t>include</w:t>
      </w:r>
      <w:r>
        <w:rPr>
          <w:rFonts w:ascii="Times New Roman" w:hAnsi="Times New Roman" w:cs="Times New Roman"/>
        </w:rPr>
        <w:t>:</w:t>
      </w:r>
      <w:r w:rsidRPr="003D219A">
        <w:rPr>
          <w:rFonts w:ascii="Times New Roman" w:hAnsi="Times New Roman" w:cs="Times New Roman"/>
        </w:rPr>
        <w:t xml:space="preserve"> Coral Reef Restoration and Propagation </w:t>
      </w:r>
      <w:r w:rsidR="0042567A" w:rsidRPr="003D219A">
        <w:rPr>
          <w:rFonts w:ascii="Times New Roman" w:hAnsi="Times New Roman" w:cs="Times New Roman"/>
        </w:rPr>
        <w:t xml:space="preserve">initiatives; </w:t>
      </w:r>
      <w:r w:rsidRPr="003D219A">
        <w:rPr>
          <w:rFonts w:ascii="Times New Roman" w:hAnsi="Times New Roman" w:cs="Times New Roman"/>
        </w:rPr>
        <w:t xml:space="preserve">Seaweed Aquaculture </w:t>
      </w:r>
      <w:r w:rsidR="0042567A" w:rsidRPr="003D219A">
        <w:rPr>
          <w:rFonts w:ascii="Times New Roman" w:hAnsi="Times New Roman" w:cs="Times New Roman"/>
        </w:rPr>
        <w:t xml:space="preserve">(building on previous training provided in Grenada): establishment of Fish Aggregation Devices (building on experience with existing demonstration FAD in Grenada) to enhance fishing opportunities for fishermen displaced through the creation of MPAs; and </w:t>
      </w:r>
      <w:r w:rsidRPr="003D219A">
        <w:rPr>
          <w:rFonts w:ascii="Times New Roman" w:hAnsi="Times New Roman" w:cs="Times New Roman"/>
        </w:rPr>
        <w:t>Community Scuba Diving</w:t>
      </w:r>
      <w:r w:rsidR="0042567A" w:rsidRPr="003D219A">
        <w:rPr>
          <w:rFonts w:ascii="Times New Roman" w:hAnsi="Times New Roman" w:cs="Times New Roman"/>
        </w:rPr>
        <w:t xml:space="preserve">.  </w:t>
      </w:r>
    </w:p>
    <w:p w14:paraId="44FFF8F4" w:rsidR="0042567A" w:rsidRPr="00C54044" w:rsidRDefault="003D219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54044">
        <w:rPr>
          <w:rFonts w:ascii="Times New Roman" w:hAnsi="Times New Roman" w:cs="Times New Roman"/>
        </w:rPr>
        <w:t xml:space="preserve">At the communities adjacent to or within TPAs the type of livelihood </w:t>
      </w:r>
      <w:r w:rsidR="00C54044" w:rsidRPr="00C54044">
        <w:rPr>
          <w:rFonts w:ascii="Times New Roman" w:hAnsi="Times New Roman" w:cs="Times New Roman"/>
        </w:rPr>
        <w:t xml:space="preserve">and resource management </w:t>
      </w:r>
      <w:r w:rsidRPr="00C54044">
        <w:rPr>
          <w:rFonts w:ascii="Times New Roman" w:hAnsi="Times New Roman" w:cs="Times New Roman"/>
        </w:rPr>
        <w:t xml:space="preserve">initiatives that </w:t>
      </w:r>
      <w:r w:rsidR="00C54044" w:rsidRPr="00C54044">
        <w:rPr>
          <w:rFonts w:ascii="Times New Roman" w:hAnsi="Times New Roman" w:cs="Times New Roman"/>
        </w:rPr>
        <w:t>will</w:t>
      </w:r>
      <w:r w:rsidRPr="00C54044">
        <w:rPr>
          <w:rFonts w:ascii="Times New Roman" w:hAnsi="Times New Roman" w:cs="Times New Roman"/>
        </w:rPr>
        <w:t xml:space="preserve"> be facilitated include:</w:t>
      </w:r>
      <w:r w:rsidR="00C54044" w:rsidRPr="00C54044">
        <w:rPr>
          <w:rFonts w:ascii="Times New Roman" w:hAnsi="Times New Roman" w:cs="Times New Roman"/>
        </w:rPr>
        <w:t xml:space="preserve"> apiculture, tour-guiding, agro-processing, craft-</w:t>
      </w:r>
      <w:r w:rsidR="0042567A" w:rsidRPr="00C54044">
        <w:rPr>
          <w:rFonts w:ascii="Times New Roman" w:hAnsi="Times New Roman" w:cs="Times New Roman"/>
        </w:rPr>
        <w:t>making, sustainable use of NTFPs, and fire prevention and response</w:t>
      </w:r>
      <w:r w:rsidR="00C54044" w:rsidRPr="00C54044">
        <w:rPr>
          <w:rFonts w:ascii="Times New Roman" w:hAnsi="Times New Roman" w:cs="Times New Roman"/>
        </w:rPr>
        <w:t xml:space="preserve"> through improved practices to avoid fire damage and reduce slash and burn agriculture</w:t>
      </w:r>
      <w:r w:rsidR="0042567A" w:rsidRPr="00C54044">
        <w:rPr>
          <w:rFonts w:ascii="Times New Roman" w:hAnsi="Times New Roman" w:cs="Times New Roman"/>
        </w:rPr>
        <w:t>.  To facilitate these efforts, the project will establish partnerships with educational institutions and local NGOs to assist in capacity development and training, and will work with the Board of Tourism and other agencies to allow for certification of local inhabitants as service providers (guides; shops/booths etc.)</w:t>
      </w:r>
      <w:r w:rsidR="00C54044">
        <w:rPr>
          <w:rFonts w:ascii="Times New Roman" w:hAnsi="Times New Roman" w:cs="Times New Roman"/>
        </w:rPr>
        <w:t>.</w:t>
      </w:r>
      <w:r w:rsidR="0042567A" w:rsidRPr="00C54044">
        <w:rPr>
          <w:rFonts w:ascii="Times New Roman" w:hAnsi="Times New Roman" w:cs="Times New Roman"/>
        </w:rPr>
        <w:t xml:space="preserve"> </w:t>
      </w:r>
      <w:r w:rsidR="00C54044">
        <w:rPr>
          <w:rFonts w:ascii="Times New Roman" w:hAnsi="Times New Roman" w:cs="Times New Roman"/>
        </w:rPr>
        <w:t>As such, the project will</w:t>
      </w:r>
      <w:r w:rsidR="0042567A" w:rsidRPr="00C54044">
        <w:rPr>
          <w:rFonts w:ascii="Times New Roman" w:hAnsi="Times New Roman" w:cs="Times New Roman"/>
        </w:rPr>
        <w:t xml:space="preserve"> enhance existing livelihood initiatives or enhance startups in a process where NGOs and CBOs in collaboration with relevant Competent Authorities would engage local persons involved in </w:t>
      </w:r>
      <w:r w:rsidR="00B819E7">
        <w:rPr>
          <w:rFonts w:ascii="Times New Roman" w:hAnsi="Times New Roman" w:cs="Times New Roman"/>
        </w:rPr>
        <w:t>e</w:t>
      </w:r>
      <w:r w:rsidR="0042567A" w:rsidRPr="00C54044">
        <w:rPr>
          <w:rFonts w:ascii="Times New Roman" w:hAnsi="Times New Roman" w:cs="Times New Roman"/>
        </w:rPr>
        <w:t xml:space="preserve">ducation and awareness exercises demonstrating principles and practices in SLM, SFM/REDD+, LD and CC adaptation. </w:t>
      </w:r>
    </w:p>
    <w:p w14:paraId="7DD8EF3C" w:rsidR="00133632" w:rsidRPr="003D219A" w:rsidRDefault="003625B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Finally, the project</w:t>
      </w:r>
      <w:r w:rsidRPr="00DC4545">
        <w:rPr>
          <w:rFonts w:ascii="Times New Roman" w:hAnsi="Times New Roman" w:cs="Times New Roman"/>
        </w:rPr>
        <w:t xml:space="preserve"> </w:t>
      </w:r>
      <w:r>
        <w:rPr>
          <w:rFonts w:ascii="Times New Roman" w:hAnsi="Times New Roman" w:cs="Times New Roman"/>
        </w:rPr>
        <w:t>will implement</w:t>
      </w:r>
      <w:r w:rsidRPr="00DC4545">
        <w:rPr>
          <w:rFonts w:ascii="Times New Roman" w:hAnsi="Times New Roman" w:cs="Times New Roman"/>
        </w:rPr>
        <w:t xml:space="preserve"> general public education programs on the value of PAs through various media (e.g. publi</w:t>
      </w:r>
      <w:r>
        <w:rPr>
          <w:rFonts w:ascii="Times New Roman" w:hAnsi="Times New Roman" w:cs="Times New Roman"/>
        </w:rPr>
        <w:t xml:space="preserve">c service announcements, </w:t>
      </w:r>
      <w:r w:rsidRPr="00DC4545">
        <w:rPr>
          <w:rFonts w:ascii="Times New Roman" w:hAnsi="Times New Roman" w:cs="Times New Roman"/>
        </w:rPr>
        <w:t>posters, brochures, flyers, signage, etc.) an</w:t>
      </w:r>
      <w:r>
        <w:rPr>
          <w:rFonts w:ascii="Times New Roman" w:hAnsi="Times New Roman" w:cs="Times New Roman"/>
        </w:rPr>
        <w:t>d outreach to school programs/</w:t>
      </w:r>
      <w:r w:rsidRPr="00DC4545">
        <w:rPr>
          <w:rFonts w:ascii="Times New Roman" w:hAnsi="Times New Roman" w:cs="Times New Roman"/>
        </w:rPr>
        <w:t>science clubs, as well as specific programs targeting communities living within or adjacent to PA Units.</w:t>
      </w:r>
    </w:p>
    <w:p w14:paraId="61B12F87" w:rsidR="00133632" w:rsidRPr="00712737" w:rsidRDefault="007919A9" w:rsidP="009C3E04">
      <w:pPr>
        <w:pStyle w:val="NoSpacing"/>
        <w:rPr>
          <w:rFonts w:ascii="Times New Roman" w:hAnsi="Times New Roman" w:cs="Times New Roman"/>
          <w:b/>
        </w:rPr>
      </w:pPr>
      <w:r w:rsidRPr="00712737">
        <w:rPr>
          <w:rFonts w:ascii="Times New Roman" w:hAnsi="Times New Roman" w:cs="Times New Roman"/>
          <w:b/>
          <w:i/>
        </w:rPr>
        <w:t>Outcome</w:t>
      </w:r>
      <w:r w:rsidR="00133632" w:rsidRPr="00712737">
        <w:rPr>
          <w:rFonts w:ascii="Times New Roman" w:hAnsi="Times New Roman" w:cs="Times New Roman"/>
          <w:b/>
          <w:i/>
        </w:rPr>
        <w:t xml:space="preserve"> 2:  </w:t>
      </w:r>
      <w:r w:rsidR="00712737" w:rsidRPr="00712737">
        <w:rPr>
          <w:rFonts w:ascii="Times New Roman" w:hAnsi="Times New Roman" w:cs="Times New Roman"/>
          <w:b/>
          <w:i/>
        </w:rPr>
        <w:t>C</w:t>
      </w:r>
      <w:r w:rsidR="00133632" w:rsidRPr="00712737">
        <w:rPr>
          <w:rFonts w:ascii="Times New Roman" w:hAnsi="Times New Roman" w:cs="Times New Roman"/>
          <w:b/>
          <w:i/>
        </w:rPr>
        <w:t>limate resilient SLM practices applied in the Beausejour watershed to reduce threats adjacent to and upstream of PAs</w:t>
      </w:r>
    </w:p>
    <w:p w14:paraId="54028593" w:rsidR="00133632" w:rsidRPr="009F55E6" w:rsidRDefault="00133632" w:rsidP="009C3E04">
      <w:pPr>
        <w:pStyle w:val="NoSpacing"/>
        <w:rPr>
          <w:rFonts w:ascii="Times New Roman" w:hAnsi="Times New Roman" w:cs="Times New Roman"/>
          <w:highlight w:val="yellow"/>
        </w:rPr>
      </w:pPr>
    </w:p>
    <w:p w14:paraId="38EE73A6" w:rsidR="00712737" w:rsidRPr="00C926FA" w:rsidRDefault="00712737"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This Outcome focuses on r</w:t>
      </w:r>
      <w:r w:rsidR="00133632" w:rsidRPr="00C926FA">
        <w:rPr>
          <w:rFonts w:ascii="Times New Roman" w:hAnsi="Times New Roman" w:cs="Times New Roman"/>
        </w:rPr>
        <w:t xml:space="preserve">educed LD, improved Carbon stocks and enhancement of BD in the Beausejour watershed.  </w:t>
      </w:r>
      <w:r w:rsidRPr="00C926FA">
        <w:rPr>
          <w:rFonts w:ascii="Times New Roman" w:hAnsi="Times New Roman" w:cs="Times New Roman"/>
        </w:rPr>
        <w:t>Climate resilient technologies will be developed and implemented by local area communities (villages) on 1547 ha of the Beausejour watershed leading to improved habitat integrity in the Annandale Forest Reserve within the watershed and surrounding landscape as well as nearby MPAs.</w:t>
      </w:r>
      <w:r w:rsidR="00C926FA" w:rsidRPr="00C926FA">
        <w:rPr>
          <w:rFonts w:ascii="Times New Roman" w:hAnsi="Times New Roman" w:cs="Times New Roman"/>
        </w:rPr>
        <w:t xml:space="preserve"> Figures 2.A-D </w:t>
      </w:r>
      <w:r w:rsidR="00C926FA">
        <w:rPr>
          <w:rFonts w:ascii="Times New Roman" w:hAnsi="Times New Roman" w:cs="Times New Roman"/>
        </w:rPr>
        <w:t>depict</w:t>
      </w:r>
      <w:r w:rsidR="00C926FA" w:rsidRPr="00C926FA">
        <w:rPr>
          <w:rFonts w:ascii="Times New Roman" w:hAnsi="Times New Roman" w:cs="Times New Roman"/>
        </w:rPr>
        <w:t xml:space="preserve"> the area to be covered, as well as its characteristics.</w:t>
      </w:r>
    </w:p>
    <w:p w14:paraId="48A3540D" w:rsidR="005774E3" w:rsidRDefault="005774E3">
      <w:pPr>
        <w:rPr>
          <w:rFonts w:ascii="Times New Roman" w:hAnsi="Times New Roman" w:cs="Times New Roman"/>
          <w:b/>
        </w:rPr>
      </w:pPr>
      <w:r>
        <w:rPr>
          <w:rFonts w:ascii="Times New Roman" w:hAnsi="Times New Roman" w:cs="Times New Roman"/>
          <w:b/>
        </w:rPr>
        <w:br w:type="page"/>
      </w:r>
    </w:p>
    <w:p w14:paraId="1BEB5848" w:rsidR="00470CE4" w:rsidRPr="00C926FA" w:rsidRDefault="00470CE4" w:rsidP="00470CE4">
      <w:pPr>
        <w:rPr>
          <w:rFonts w:ascii="Times New Roman" w:hAnsi="Times New Roman" w:cs="Times New Roman"/>
          <w:b/>
        </w:rPr>
      </w:pPr>
      <w:r w:rsidRPr="00C926FA">
        <w:rPr>
          <w:rFonts w:ascii="Times New Roman" w:hAnsi="Times New Roman" w:cs="Times New Roman"/>
          <w:b/>
        </w:rPr>
        <w:t>Figure 2.A Location of the Beausejour/Grenville Vale/ Annandale Watershed</w:t>
      </w:r>
    </w:p>
    <w:p w14:paraId="18CBF93B" w:rsidR="00470CE4" w:rsidRPr="00C926FA" w:rsidRDefault="00470CE4" w:rsidP="00470CE4">
      <w:pPr>
        <w:rPr>
          <w:rFonts w:ascii="Times New Roman" w:hAnsi="Times New Roman" w:cs="Times New Roman"/>
        </w:rPr>
      </w:pPr>
      <w:r w:rsidRPr="00C926FA">
        <w:rPr>
          <w:rFonts w:ascii="Times New Roman" w:hAnsi="Times New Roman" w:cs="Times New Roman"/>
          <w:noProof/>
        </w:rPr>
        <w:drawing>
          <wp:inline distT="0" distB="0" distL="0" distR="0" wp14:anchorId="24009CF9" wp14:editId="4692B314">
            <wp:extent cx="2963284" cy="4187567"/>
            <wp:effectExtent l="38100" t="57150" r="122816" b="98683"/>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sejour Loc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3880" cy="42025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339755" w:rsidR="00470CE4" w:rsidRPr="00C926FA" w:rsidRDefault="00470CE4" w:rsidP="005774E3">
      <w:pPr>
        <w:rPr>
          <w:rFonts w:ascii="Times New Roman" w:hAnsi="Times New Roman" w:cs="Times New Roman"/>
          <w:b/>
        </w:rPr>
      </w:pPr>
      <w:r w:rsidRPr="00C926FA">
        <w:rPr>
          <w:rFonts w:ascii="Times New Roman" w:hAnsi="Times New Roman" w:cs="Times New Roman"/>
          <w:b/>
        </w:rPr>
        <w:t>Figure 2.B: Land Use within the watershed of Beausejour</w:t>
      </w:r>
    </w:p>
    <w:p w14:paraId="16700F86" w:rsidR="00470CE4" w:rsidRPr="00C926FA" w:rsidRDefault="00470CE4" w:rsidP="00470CE4">
      <w:pPr>
        <w:rPr>
          <w:rFonts w:ascii="Times New Roman" w:hAnsi="Times New Roman" w:cs="Times New Roman"/>
        </w:rPr>
      </w:pPr>
      <w:r w:rsidRPr="00C926FA">
        <w:rPr>
          <w:rFonts w:ascii="Times New Roman" w:hAnsi="Times New Roman" w:cs="Times New Roman"/>
          <w:noProof/>
        </w:rPr>
        <w:drawing>
          <wp:anchor distT="0" distB="0" distL="114300" distR="114300" simplePos="0" relativeHeight="251681792" behindDoc="1" locked="0" layoutInCell="1" allowOverlap="1" wp14:anchorId="04ECF011" wp14:editId="10C281F0">
            <wp:simplePos x="0" y="0"/>
            <wp:positionH relativeFrom="column">
              <wp:posOffset>94615</wp:posOffset>
            </wp:positionH>
            <wp:positionV relativeFrom="paragraph">
              <wp:posOffset>95250</wp:posOffset>
            </wp:positionV>
            <wp:extent cx="3608070" cy="2553335"/>
            <wp:effectExtent l="95250" t="95250" r="68580" b="75565"/>
            <wp:wrapTight wrapText="bothSides">
              <wp:wrapPolygon edited="0">
                <wp:start x="-570" y="-806"/>
                <wp:lineTo x="-570" y="22239"/>
                <wp:lineTo x="22011" y="22239"/>
                <wp:lineTo x="22011" y="-806"/>
                <wp:lineTo x="-570" y="-806"/>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sejour landu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8070" cy="25533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3320982B" w:rsidR="00470CE4" w:rsidRPr="00C926FA" w:rsidRDefault="00470CE4" w:rsidP="00470CE4">
      <w:pPr>
        <w:spacing w:line="240" w:lineRule="auto"/>
        <w:rPr>
          <w:rFonts w:ascii="Times New Roman" w:hAnsi="Times New Roman" w:cs="Times New Roman"/>
          <w:b/>
        </w:rPr>
      </w:pPr>
    </w:p>
    <w:p w14:paraId="743DE57A" w:rsidR="00470CE4" w:rsidRPr="00C926FA" w:rsidRDefault="00470CE4" w:rsidP="00470CE4">
      <w:pPr>
        <w:spacing w:line="240" w:lineRule="auto"/>
        <w:rPr>
          <w:rFonts w:ascii="Times New Roman" w:hAnsi="Times New Roman" w:cs="Times New Roman"/>
          <w:b/>
        </w:rPr>
      </w:pPr>
    </w:p>
    <w:p w14:paraId="6AAEEAA9" w:rsidR="00470CE4" w:rsidRPr="00C926FA" w:rsidRDefault="00470CE4" w:rsidP="00470CE4">
      <w:pPr>
        <w:spacing w:line="240" w:lineRule="auto"/>
        <w:rPr>
          <w:rFonts w:ascii="Times New Roman" w:hAnsi="Times New Roman" w:cs="Times New Roman"/>
          <w:b/>
        </w:rPr>
      </w:pPr>
    </w:p>
    <w:p w14:paraId="37FF1FE8" w:rsidR="00470CE4" w:rsidRPr="00C926FA" w:rsidRDefault="00470CE4" w:rsidP="00470CE4">
      <w:pPr>
        <w:spacing w:line="240" w:lineRule="auto"/>
        <w:rPr>
          <w:rFonts w:ascii="Times New Roman" w:hAnsi="Times New Roman" w:cs="Times New Roman"/>
          <w:b/>
        </w:rPr>
      </w:pPr>
    </w:p>
    <w:p w14:paraId="69BF1A56" w:rsidR="00470CE4" w:rsidRPr="00C926FA" w:rsidRDefault="00470CE4" w:rsidP="00470CE4">
      <w:pPr>
        <w:spacing w:line="240" w:lineRule="auto"/>
        <w:rPr>
          <w:rFonts w:ascii="Times New Roman" w:hAnsi="Times New Roman" w:cs="Times New Roman"/>
          <w:b/>
        </w:rPr>
      </w:pPr>
    </w:p>
    <w:p w14:paraId="71172680" w:rsidR="00470CE4" w:rsidRPr="00C926FA" w:rsidRDefault="00470CE4" w:rsidP="00470CE4">
      <w:pPr>
        <w:spacing w:line="240" w:lineRule="auto"/>
        <w:rPr>
          <w:rFonts w:ascii="Times New Roman" w:hAnsi="Times New Roman" w:cs="Times New Roman"/>
          <w:b/>
        </w:rPr>
      </w:pPr>
    </w:p>
    <w:p w14:paraId="61FE5D46" w:rsidR="00470CE4" w:rsidRPr="00C926FA" w:rsidRDefault="00470CE4" w:rsidP="00470CE4">
      <w:pPr>
        <w:spacing w:line="240" w:lineRule="auto"/>
        <w:rPr>
          <w:rFonts w:ascii="Times New Roman" w:hAnsi="Times New Roman" w:cs="Times New Roman"/>
          <w:b/>
        </w:rPr>
      </w:pPr>
    </w:p>
    <w:p w14:paraId="6D9381C2" w:rsidR="00470CE4" w:rsidRPr="00C926FA" w:rsidRDefault="00470CE4" w:rsidP="00470CE4">
      <w:pPr>
        <w:spacing w:line="240" w:lineRule="auto"/>
        <w:rPr>
          <w:rFonts w:ascii="Times New Roman" w:hAnsi="Times New Roman" w:cs="Times New Roman"/>
          <w:b/>
        </w:rPr>
      </w:pPr>
    </w:p>
    <w:p w14:paraId="11E32E5B" w:rsidR="00470CE4" w:rsidRPr="00C926FA" w:rsidRDefault="00470CE4" w:rsidP="00470CE4">
      <w:pPr>
        <w:spacing w:line="240" w:lineRule="auto"/>
        <w:rPr>
          <w:rFonts w:ascii="Times New Roman" w:hAnsi="Times New Roman" w:cs="Times New Roman"/>
          <w:b/>
        </w:rPr>
      </w:pPr>
    </w:p>
    <w:p w14:paraId="41C3E9D0" w:rsidR="0042567A" w:rsidRDefault="0042567A" w:rsidP="00470CE4">
      <w:pPr>
        <w:spacing w:line="240" w:lineRule="auto"/>
        <w:rPr>
          <w:rFonts w:ascii="Times New Roman" w:hAnsi="Times New Roman" w:cs="Times New Roman"/>
          <w:b/>
        </w:rPr>
      </w:pPr>
    </w:p>
    <w:p w14:paraId="668D2D09" w:rsidR="0042567A" w:rsidRDefault="0042567A" w:rsidP="00470CE4">
      <w:pPr>
        <w:spacing w:line="240" w:lineRule="auto"/>
        <w:rPr>
          <w:rFonts w:ascii="Times New Roman" w:hAnsi="Times New Roman" w:cs="Times New Roman"/>
          <w:b/>
        </w:rPr>
      </w:pPr>
    </w:p>
    <w:p w14:paraId="168B9A81" w:rsidR="00470CE4" w:rsidRPr="00C926FA" w:rsidRDefault="00470CE4" w:rsidP="00470CE4">
      <w:pPr>
        <w:spacing w:line="240" w:lineRule="auto"/>
        <w:rPr>
          <w:rFonts w:ascii="Times New Roman" w:hAnsi="Times New Roman" w:cs="Times New Roman"/>
          <w:b/>
        </w:rPr>
      </w:pPr>
      <w:r w:rsidRPr="00C926FA">
        <w:rPr>
          <w:rFonts w:ascii="Times New Roman" w:hAnsi="Times New Roman" w:cs="Times New Roman"/>
          <w:b/>
        </w:rPr>
        <w:t xml:space="preserve">Figure 2.C: Soil map of the Beausejour Watershed </w:t>
      </w:r>
    </w:p>
    <w:p w14:paraId="0BD4D329" w:rsidR="00470CE4" w:rsidRPr="00C926FA" w:rsidRDefault="00470CE4" w:rsidP="00470CE4">
      <w:pPr>
        <w:rPr>
          <w:rFonts w:ascii="Times New Roman" w:hAnsi="Times New Roman" w:cs="Times New Roman"/>
        </w:rPr>
      </w:pPr>
      <w:r w:rsidRPr="00C926FA">
        <w:rPr>
          <w:rFonts w:ascii="Times New Roman" w:hAnsi="Times New Roman" w:cs="Times New Roman"/>
          <w:noProof/>
        </w:rPr>
        <w:drawing>
          <wp:inline distT="0" distB="0" distL="0" distR="0" wp14:anchorId="10FF8BCA" wp14:editId="36A26F51">
            <wp:extent cx="4951278" cy="3503981"/>
            <wp:effectExtent l="0" t="0" r="1905"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sejour soi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1278" cy="3503981"/>
                    </a:xfrm>
                    <a:prstGeom prst="rect">
                      <a:avLst/>
                    </a:prstGeom>
                  </pic:spPr>
                </pic:pic>
              </a:graphicData>
            </a:graphic>
          </wp:inline>
        </w:drawing>
      </w:r>
    </w:p>
    <w:p w14:paraId="741311AE" w:rsidR="00470CE4" w:rsidRPr="00C926FA" w:rsidRDefault="00470CE4" w:rsidP="00470CE4">
      <w:pPr>
        <w:spacing w:line="240" w:lineRule="auto"/>
        <w:rPr>
          <w:rFonts w:ascii="Times New Roman" w:hAnsi="Times New Roman" w:cs="Times New Roman"/>
          <w:b/>
        </w:rPr>
      </w:pPr>
      <w:r w:rsidRPr="00C926FA">
        <w:rPr>
          <w:rFonts w:ascii="Times New Roman" w:hAnsi="Times New Roman" w:cs="Times New Roman"/>
          <w:b/>
        </w:rPr>
        <w:t xml:space="preserve">Figure 2.D Beausejour water network and source </w:t>
      </w:r>
    </w:p>
    <w:p w14:paraId="4290BC1F" w:rsidR="00470CE4" w:rsidRDefault="00470CE4" w:rsidP="00470CE4">
      <w:pPr>
        <w:spacing w:after="240" w:line="240" w:lineRule="auto"/>
        <w:rPr>
          <w:rFonts w:ascii="Times New Roman" w:hAnsi="Times New Roman" w:cs="Times New Roman"/>
        </w:rPr>
      </w:pPr>
      <w:r w:rsidRPr="00C926FA">
        <w:rPr>
          <w:noProof/>
        </w:rPr>
        <w:drawing>
          <wp:inline distT="0" distB="0" distL="0" distR="0" wp14:anchorId="10955357" wp14:editId="4BAAED12">
            <wp:extent cx="4217565" cy="298474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sejour waterinf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2586" cy="2988293"/>
                    </a:xfrm>
                    <a:prstGeom prst="rect">
                      <a:avLst/>
                    </a:prstGeom>
                  </pic:spPr>
                </pic:pic>
              </a:graphicData>
            </a:graphic>
          </wp:inline>
        </w:drawing>
      </w:r>
    </w:p>
    <w:p w14:paraId="70B620D9" w:rsidR="00C54044" w:rsidRPr="00C926FA"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It is anticipated that the initiative will reduce threats to ecosystems functions from encroachments, pollution</w:t>
      </w:r>
      <w:r>
        <w:rPr>
          <w:rFonts w:ascii="Times New Roman" w:hAnsi="Times New Roman" w:cs="Times New Roman"/>
        </w:rPr>
        <w:t>,</w:t>
      </w:r>
      <w:r w:rsidRPr="00C926FA">
        <w:rPr>
          <w:rFonts w:ascii="Times New Roman" w:hAnsi="Times New Roman" w:cs="Times New Roman"/>
        </w:rPr>
        <w:t xml:space="preserve"> sedimentation and mining</w:t>
      </w:r>
      <w:r>
        <w:rPr>
          <w:rStyle w:val="FootnoteReference"/>
          <w:rFonts w:ascii="Times New Roman" w:hAnsi="Times New Roman" w:cs="Times New Roman"/>
        </w:rPr>
        <w:footnoteReference w:id="19"/>
      </w:r>
      <w:r w:rsidRPr="00C926FA">
        <w:rPr>
          <w:rFonts w:ascii="Times New Roman" w:hAnsi="Times New Roman" w:cs="Times New Roman"/>
        </w:rPr>
        <w:t xml:space="preserve">.  Additionally there will be direct carbon benefits due to reduced deforestation on at least 50% of private lands (337.3 ha) through enforcement of regulations on clearing steep slopes and riparian zones, thereby conserving total Carbon stock estimated at 9,613tC; as well as benefits expected from the enrichment of forest cover through enrichment planting (150 ha.) and removal of bamboo (40 ha.), thereby increasing Carbon stock by 4320tC.  </w:t>
      </w:r>
      <w:r>
        <w:rPr>
          <w:rFonts w:ascii="Times New Roman" w:hAnsi="Times New Roman" w:cs="Times New Roman"/>
        </w:rPr>
        <w:t>Furthermore</w:t>
      </w:r>
      <w:r w:rsidRPr="00C926FA">
        <w:rPr>
          <w:rFonts w:ascii="Times New Roman" w:hAnsi="Times New Roman" w:cs="Times New Roman"/>
        </w:rPr>
        <w:t>, the indirect benefits through avoided deforestation of total carbon stock in all forests in the Beausejour watershed by watershed-level planning and management will result in an estimated 26,066tC.  The project expects an impact that will also reduce sediment load and fertilizer</w:t>
      </w:r>
      <w:r>
        <w:rPr>
          <w:rFonts w:ascii="Times New Roman" w:hAnsi="Times New Roman" w:cs="Times New Roman"/>
        </w:rPr>
        <w:t>/</w:t>
      </w:r>
      <w:r w:rsidRPr="00C926FA">
        <w:rPr>
          <w:rFonts w:ascii="Times New Roman" w:hAnsi="Times New Roman" w:cs="Times New Roman"/>
        </w:rPr>
        <w:t>pesticide carriage by about 15%.</w:t>
      </w:r>
    </w:p>
    <w:p w14:paraId="5A6B9EDE" w:rsidR="00C54044" w:rsidRPr="00C926FA"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 xml:space="preserve">In terms of human impacts, the project is expected to promote the adoption of sustainable agricultural practices within 6 village level communities for preserving and conserving ecosystems and livelihood opportunities demonstrated by: (1) reduced levels of soil erosion on steep landscapes and (2) increased net household incomes.  </w:t>
      </w:r>
    </w:p>
    <w:p w14:paraId="7F9AC79D" w:rsidR="00266704" w:rsidRDefault="00266704" w:rsidP="00631D29">
      <w:pPr>
        <w:pStyle w:val="ListParagraph"/>
        <w:widowControl w:val="0"/>
        <w:autoSpaceDE w:val="0"/>
        <w:autoSpaceDN w:val="0"/>
        <w:adjustRightInd w:val="0"/>
        <w:spacing w:before="76" w:after="0" w:line="255" w:lineRule="auto"/>
        <w:ind w:left="0" w:right="166"/>
        <w:contextualSpacing w:val="0"/>
        <w:jc w:val="both"/>
        <w:rPr>
          <w:rFonts w:ascii="Times New Roman" w:hAnsi="Times New Roman" w:cs="Times New Roman"/>
          <w:b/>
        </w:rPr>
      </w:pPr>
      <w:r w:rsidRPr="00C926FA">
        <w:rPr>
          <w:rFonts w:ascii="Times New Roman" w:hAnsi="Times New Roman" w:cs="Times New Roman"/>
          <w:b/>
          <w:i/>
        </w:rPr>
        <w:t>Ou</w:t>
      </w:r>
      <w:r w:rsidR="00712737" w:rsidRPr="00C926FA">
        <w:rPr>
          <w:rFonts w:ascii="Times New Roman" w:hAnsi="Times New Roman" w:cs="Times New Roman"/>
          <w:b/>
          <w:i/>
        </w:rPr>
        <w:t>tput 2.1. S</w:t>
      </w:r>
      <w:r w:rsidRPr="00C926FA">
        <w:rPr>
          <w:rFonts w:ascii="Times New Roman" w:hAnsi="Times New Roman" w:cs="Times New Roman"/>
          <w:b/>
          <w:i/>
        </w:rPr>
        <w:t>trengthened pl</w:t>
      </w:r>
      <w:r w:rsidR="00712737" w:rsidRPr="00C926FA">
        <w:rPr>
          <w:rFonts w:ascii="Times New Roman" w:hAnsi="Times New Roman" w:cs="Times New Roman"/>
          <w:b/>
          <w:i/>
        </w:rPr>
        <w:t>anning and management framework,</w:t>
      </w:r>
      <w:r w:rsidRPr="00C926FA">
        <w:rPr>
          <w:rFonts w:ascii="Times New Roman" w:hAnsi="Times New Roman" w:cs="Times New Roman"/>
          <w:b/>
          <w:i/>
        </w:rPr>
        <w:t xml:space="preserve"> capacities and awareness for </w:t>
      </w:r>
      <w:r w:rsidR="00631D29">
        <w:rPr>
          <w:rFonts w:ascii="Times New Roman" w:hAnsi="Times New Roman" w:cs="Times New Roman"/>
          <w:b/>
          <w:i/>
        </w:rPr>
        <w:t>p</w:t>
      </w:r>
      <w:r w:rsidRPr="00C926FA">
        <w:rPr>
          <w:rFonts w:ascii="Times New Roman" w:hAnsi="Times New Roman" w:cs="Times New Roman"/>
          <w:b/>
          <w:i/>
        </w:rPr>
        <w:t>articipatory sustainable resource management</w:t>
      </w:r>
      <w:r w:rsidRPr="00C926FA">
        <w:rPr>
          <w:rFonts w:ascii="Times New Roman" w:hAnsi="Times New Roman" w:cs="Times New Roman"/>
          <w:b/>
        </w:rPr>
        <w:t>.</w:t>
      </w:r>
    </w:p>
    <w:p w14:paraId="7E118FB3" w:rsidR="00631D29" w:rsidRPr="00C926FA" w:rsidRDefault="00631D29" w:rsidP="00631D29">
      <w:pPr>
        <w:pStyle w:val="ListParagraph"/>
        <w:widowControl w:val="0"/>
        <w:autoSpaceDE w:val="0"/>
        <w:autoSpaceDN w:val="0"/>
        <w:adjustRightInd w:val="0"/>
        <w:spacing w:before="76" w:after="0" w:line="255" w:lineRule="auto"/>
        <w:ind w:left="0" w:right="166"/>
        <w:contextualSpacing w:val="0"/>
        <w:jc w:val="both"/>
        <w:rPr>
          <w:rFonts w:ascii="Times New Roman" w:hAnsi="Times New Roman" w:cs="Times New Roman"/>
          <w:b/>
        </w:rPr>
      </w:pPr>
    </w:p>
    <w:p w14:paraId="296FBE69" w:rsidR="00C926FA" w:rsidRPr="00C54044"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This Output will focus on strengthening the planning and management framework to implement SLM and SFM interventions in the Beausejour watershed, an area important for agricultural production, biodiversity conservation, the provision of drinking water, and rural livelihoods. An intersectoral committee will be set up as the first step in the co-management engagement process and will serve not only to guide in planning project interventions</w:t>
      </w:r>
      <w:r w:rsidR="00D1170B">
        <w:rPr>
          <w:rFonts w:ascii="Times New Roman" w:hAnsi="Times New Roman" w:cs="Times New Roman"/>
        </w:rPr>
        <w:t>,</w:t>
      </w:r>
      <w:r w:rsidRPr="00C926FA">
        <w:rPr>
          <w:rFonts w:ascii="Times New Roman" w:hAnsi="Times New Roman" w:cs="Times New Roman"/>
        </w:rPr>
        <w:t xml:space="preserve"> but is also expected to carry over for responses in the post project period.</w:t>
      </w:r>
      <w:r w:rsidR="00C54044" w:rsidRPr="00C54044">
        <w:rPr>
          <w:rFonts w:ascii="Times New Roman" w:hAnsi="Times New Roman" w:cs="Times New Roman"/>
        </w:rPr>
        <w:t xml:space="preserve"> </w:t>
      </w:r>
      <w:r w:rsidR="00C54044">
        <w:rPr>
          <w:rFonts w:ascii="Times New Roman" w:hAnsi="Times New Roman" w:cs="Times New Roman"/>
        </w:rPr>
        <w:t>This</w:t>
      </w:r>
      <w:r w:rsidR="00C54044" w:rsidRPr="00D426B3">
        <w:rPr>
          <w:rFonts w:ascii="Times New Roman" w:hAnsi="Times New Roman" w:cs="Times New Roman"/>
        </w:rPr>
        <w:t xml:space="preserve"> Inter-sectoral Committee for the Beausejour  Watershed, including local community representatives,  will be established  to integrate  planning  and oversight of BD and SLM  approaches  in  both  the  productive  landscape  and  within  PA  units  (this activity  will be carried  out in collaboration  with ongoing  efforts  to establish  a National  Lands  Agency  in Grenada  for coordination  of land  management</w:t>
      </w:r>
      <w:r w:rsidR="00C54044" w:rsidRPr="00C54044">
        <w:rPr>
          <w:rFonts w:ascii="Times New Roman" w:hAnsi="Times New Roman" w:cs="Times New Roman"/>
        </w:rPr>
        <w:t>). A plan of action for the Beausejour watershed planning and management will be elaborated and presented in order to acquire consensus on the existing needs and determine how each stakeholder group might contribute and what enabling resources are available to support the plan’s implementation.</w:t>
      </w:r>
    </w:p>
    <w:p w14:paraId="4D35A9DE" w:rsidR="00C926FA" w:rsidRPr="00C926FA"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 xml:space="preserve">The Beausejour watershed has been severely degraded by unsustainable human resource misuse practices as well as by significant climate change impacts (hurricanes, droughts). Indiscriminate forest clearance, raising of livestock in riparian zones, fires, and high levels of erosion, pollution and fertilizer use have led to negative impacts on biodiversity and livelihoods not only within the watershed (including habitat for the endangered Grenada Dove), but also on downstream ecosystems and users (the watershed is a key source of drinking water for the southern half of the country). In particular, coral reef ecosystems within two MPAs (Moliniere/ Beausejour and Grande Anse) directly offshore of the watershed have been severely impacted by siltation, nutrient loading and pollution; these reefs account for a significant percentage of all coral reefs in Grenada and support livelihoods such as fishing, diving, and tourism excursions, etc.  </w:t>
      </w:r>
    </w:p>
    <w:p w14:paraId="284F4216" w:rsidR="00E455B4"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 xml:space="preserve">To address the problems identified above, the Government of Grenada intends to take the “Ridge to Reef” approach to apply interventions from the high elevations of the watershed (where degradation is most severe) all the way to the offshore coral reefs, thereby increasing water availability, reducing soil erosion, maintaining forest cover, reducing fire risk, and preserving ecosystem services in the face of potential climate change impacts, while simultaneously strengthening the management effectiveness of the terrestrial PA within the watershed (Annandale Forest Reserve) and the two downstream MPAs.  The guiding principle for this intervention will be a co­management approach aimed at capacity development and empowerment of people working towards the conservation and sustainable use of biodiversity and the maintenance of ecosystem goods and services for livelihoods, with government agencies and local communities jointly involved in the planning, monitoring and evaluation of activities in the watershed. </w:t>
      </w:r>
    </w:p>
    <w:p w14:paraId="4E1A75D0" w:rsidR="00C926FA" w:rsidRPr="00C926FA"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T</w:t>
      </w:r>
      <w:r w:rsidR="00E455B4">
        <w:rPr>
          <w:rFonts w:ascii="Times New Roman" w:hAnsi="Times New Roman" w:cs="Times New Roman"/>
        </w:rPr>
        <w:t>o accomplish this, t</w:t>
      </w:r>
      <w:r w:rsidRPr="00C926FA">
        <w:rPr>
          <w:rFonts w:ascii="Times New Roman" w:hAnsi="Times New Roman" w:cs="Times New Roman"/>
        </w:rPr>
        <w:t>he project will utilize lessons learned from the project “Capacity building and Mainstreaming of Sustainable Land Management in Grenada (2007-2011)”, which strengthened technical capacities of government staff in remote sensing, GIS, land degradation assessment and monitoring</w:t>
      </w:r>
      <w:r w:rsidR="0042567A">
        <w:rPr>
          <w:rFonts w:ascii="Times New Roman" w:hAnsi="Times New Roman" w:cs="Times New Roman"/>
        </w:rPr>
        <w:t>, and best practices for SLM in</w:t>
      </w:r>
      <w:r w:rsidRPr="00C926FA">
        <w:rPr>
          <w:rFonts w:ascii="Times New Roman" w:hAnsi="Times New Roman" w:cs="Times New Roman"/>
        </w:rPr>
        <w:t xml:space="preserve"> the agricultural sector; and trained farmers in  land degradation issues and the application of SLM interventions.  This project will differ from the SLM project in that it will focus on the generation of sustainable livelihood opportunities at the same time as promoting natural resource and environmental conservation. In addition, the project will utilize the results of the Land Degradation for Drylands (LADA) project to develop a national system for assessing and mapping land degradation, monitoring land degradation processes, and consolidating information systems and protocols.</w:t>
      </w:r>
    </w:p>
    <w:p w14:paraId="4DD4AF83" w:rsidR="00D426B3"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926FA">
        <w:rPr>
          <w:rFonts w:ascii="Times New Roman" w:hAnsi="Times New Roman" w:cs="Times New Roman"/>
        </w:rPr>
        <w:t xml:space="preserve">At the national level, the National Forest Policy (NFP) will be updated to include targets and strategies for carbon sequestration, and existing draft legislation to support the NFP, as well as related statutory rules and orders for enforcement (including regulations for private forest lands), will be developed and enacted.   </w:t>
      </w:r>
    </w:p>
    <w:p w14:paraId="3E6ADACF" w:rsidR="00C54044" w:rsidRDefault="00C926FA"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426B3">
        <w:rPr>
          <w:rFonts w:ascii="Times New Roman" w:hAnsi="Times New Roman" w:cs="Times New Roman"/>
        </w:rPr>
        <w:t>At the  overall  watershed  level,  the  project  will  focus  on  strengthening  planning  and management  frameworks,  capacities  and awareness  for participatory  sustainable  resource  m</w:t>
      </w:r>
      <w:r w:rsidR="00D426B3" w:rsidRPr="00D426B3">
        <w:rPr>
          <w:rFonts w:ascii="Times New Roman" w:hAnsi="Times New Roman" w:cs="Times New Roman"/>
        </w:rPr>
        <w:t xml:space="preserve">anagement.  </w:t>
      </w:r>
      <w:r w:rsidR="00D426B3">
        <w:rPr>
          <w:rFonts w:ascii="Times New Roman" w:hAnsi="Times New Roman" w:cs="Times New Roman"/>
        </w:rPr>
        <w:t>W</w:t>
      </w:r>
      <w:r w:rsidRPr="00D426B3">
        <w:rPr>
          <w:rFonts w:ascii="Times New Roman" w:hAnsi="Times New Roman" w:cs="Times New Roman"/>
        </w:rPr>
        <w:t>atershed  level planning processes  will be developed  and training  provided  for resource  managers  in the Department  of Forestry  and  National  Parks  and the Department  of Fisheries  in the use of software  (ARC GIS or Google Mapping)  for BD conserv</w:t>
      </w:r>
      <w:r w:rsidR="00C54044">
        <w:rPr>
          <w:rFonts w:ascii="Times New Roman" w:hAnsi="Times New Roman" w:cs="Times New Roman"/>
        </w:rPr>
        <w:t>ation  (focused on endangered,</w:t>
      </w:r>
      <w:r w:rsidRPr="00D426B3">
        <w:rPr>
          <w:rFonts w:ascii="Times New Roman" w:hAnsi="Times New Roman" w:cs="Times New Roman"/>
        </w:rPr>
        <w:t xml:space="preserve"> endemic species), BD asset iden</w:t>
      </w:r>
      <w:r w:rsidR="00C54044">
        <w:rPr>
          <w:rFonts w:ascii="Times New Roman" w:hAnsi="Times New Roman" w:cs="Times New Roman"/>
        </w:rPr>
        <w:t>tification</w:t>
      </w:r>
      <w:r w:rsidRPr="00D426B3">
        <w:rPr>
          <w:rFonts w:ascii="Times New Roman" w:hAnsi="Times New Roman" w:cs="Times New Roman"/>
        </w:rPr>
        <w:t xml:space="preserve"> and mapping,  sustainable  agriculture  practices, enforcement  of BD conservation  and SLM</w:t>
      </w:r>
      <w:r w:rsidR="00C54044">
        <w:rPr>
          <w:rFonts w:ascii="Times New Roman" w:hAnsi="Times New Roman" w:cs="Times New Roman"/>
        </w:rPr>
        <w:t xml:space="preserve"> regulations, and understanding</w:t>
      </w:r>
      <w:r w:rsidRPr="00D426B3">
        <w:rPr>
          <w:rFonts w:ascii="Times New Roman" w:hAnsi="Times New Roman" w:cs="Times New Roman"/>
        </w:rPr>
        <w:t xml:space="preserve"> of potential  impacts  of climate change and possible mitigation  and adap</w:t>
      </w:r>
      <w:r w:rsidR="00C54044">
        <w:rPr>
          <w:rFonts w:ascii="Times New Roman" w:hAnsi="Times New Roman" w:cs="Times New Roman"/>
        </w:rPr>
        <w:t>tation measures. Installation</w:t>
      </w:r>
      <w:r w:rsidRPr="00D426B3">
        <w:rPr>
          <w:rFonts w:ascii="Times New Roman" w:hAnsi="Times New Roman" w:cs="Times New Roman"/>
        </w:rPr>
        <w:t xml:space="preserve"> of water quality and quantity monitoring  systems to record  and collect real time data, and mechanisms  to enhance coordination  and information  access, will strengt</w:t>
      </w:r>
      <w:r w:rsidR="00C54044">
        <w:rPr>
          <w:rFonts w:ascii="Times New Roman" w:hAnsi="Times New Roman" w:cs="Times New Roman"/>
        </w:rPr>
        <w:t>hen  water resource  management</w:t>
      </w:r>
      <w:r w:rsidRPr="00D426B3">
        <w:rPr>
          <w:rFonts w:ascii="Times New Roman" w:hAnsi="Times New Roman" w:cs="Times New Roman"/>
        </w:rPr>
        <w:t xml:space="preserve"> capacity.  Regulations  to control  development  within the watershed  will be developed and implemented,  including  protection  of high priority  habitat  for endangered  species  and -areas prone  to land </w:t>
      </w:r>
      <w:r w:rsidR="00D938C4">
        <w:rPr>
          <w:rFonts w:ascii="Times New Roman" w:hAnsi="Times New Roman" w:cs="Times New Roman"/>
        </w:rPr>
        <w:t xml:space="preserve"> degradation.    </w:t>
      </w:r>
    </w:p>
    <w:p w14:paraId="7FB464C8" w:rsidR="00C54044" w:rsidRPr="00C54044"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 xml:space="preserve">  This Output will </w:t>
      </w:r>
      <w:r w:rsidRPr="00C54044">
        <w:rPr>
          <w:rFonts w:ascii="Times New Roman" w:hAnsi="Times New Roman" w:cs="Times New Roman"/>
        </w:rPr>
        <w:t xml:space="preserve">involve several types of stakeholder groups including local area farmers and sea users, CBOs, NGOs, land owners and various Government Competent Authorities in a co-management exercise demonstrate to the various local area villagers who depend on livelihoods from the resource base that it is highly cost effective, both in the short and long term, to collaborate with Competent Authorizes in the application of SFM / REDD+, SLM and CC adaptation principles and practices.  This co-management engagement will demonstrate direct links between enhanced livelihood opportunities and collaborative planning for management of the natural resource base on which the livelihoods depends.  Recognition of the critical role of private profitability will be designed into the project delivery system. </w:t>
      </w:r>
    </w:p>
    <w:p w14:paraId="1BFE1FB6" w:rsidR="00C54044" w:rsidRPr="00C54044"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54044">
        <w:rPr>
          <w:rFonts w:ascii="Times New Roman" w:hAnsi="Times New Roman" w:cs="Times New Roman"/>
        </w:rPr>
        <w:t>The CBOs that have direct vested interests in the area include the North East Farmers organization, the Grenada Federation of Agriculture and Fishers Organizations the North West Development Organization and the Mt. Moritz Community group and the Southern Fishermen Cooperative.  These vested interest groups are the main potential recipients of support and main vehicles through which SLM REDD+ and CC adaptation technologies can be demonstrated within villages within the watershed. The NGOs that have considerable experience with groups within the watershed, could act as potential vehicles for facilitating education and awareness, training in various skills, knowledge competences and attitudes important to the co-management engagement process. The NGO agencies include the Agency for Rural Transformation (ART), Grenada GRENCODA, the Grenada Fund for the Environment and People in Action among others.</w:t>
      </w:r>
    </w:p>
    <w:p w14:paraId="1637E22E" w:rsidR="00C54044" w:rsidRPr="00C54044"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54044">
        <w:rPr>
          <w:rFonts w:ascii="Times New Roman" w:hAnsi="Times New Roman" w:cs="Times New Roman"/>
        </w:rPr>
        <w:t xml:space="preserve">After having established a working engagement among the key stakeholders within the watershed, the </w:t>
      </w:r>
      <w:r w:rsidR="00157389">
        <w:rPr>
          <w:rFonts w:ascii="Times New Roman" w:hAnsi="Times New Roman" w:cs="Times New Roman"/>
        </w:rPr>
        <w:t>project will work</w:t>
      </w:r>
      <w:r w:rsidRPr="00C54044">
        <w:rPr>
          <w:rFonts w:ascii="Times New Roman" w:hAnsi="Times New Roman" w:cs="Times New Roman"/>
        </w:rPr>
        <w:t xml:space="preserve"> to generate consensus for the application of rules of conduct/sustainable land management practices that could later translate into law-based rules in use that clearly reflect the rule</w:t>
      </w:r>
      <w:r w:rsidR="00157389">
        <w:rPr>
          <w:rFonts w:ascii="Times New Roman" w:hAnsi="Times New Roman" w:cs="Times New Roman"/>
        </w:rPr>
        <w:t>-</w:t>
      </w:r>
      <w:r w:rsidRPr="00C54044">
        <w:rPr>
          <w:rFonts w:ascii="Times New Roman" w:hAnsi="Times New Roman" w:cs="Times New Roman"/>
        </w:rPr>
        <w:t>making efforts of co-managers.  The rule-making exercises will relate to, but not limited to sustainable expansion in agriculture and housing and with recognition of the impact of human livelihoods on the BD and especially for those habitats within the area vulnerable to both human and natural threats.  The support of the policy instruments of Central Government will have to be clearly demonstrated through an updating of the National Forest Policy</w:t>
      </w:r>
      <w:r w:rsidR="00157389">
        <w:rPr>
          <w:rFonts w:ascii="Times New Roman" w:hAnsi="Times New Roman" w:cs="Times New Roman"/>
        </w:rPr>
        <w:t xml:space="preserve"> in a participatory manner,</w:t>
      </w:r>
      <w:r w:rsidRPr="00C54044">
        <w:rPr>
          <w:rFonts w:ascii="Times New Roman" w:hAnsi="Times New Roman" w:cs="Times New Roman"/>
        </w:rPr>
        <w:t xml:space="preserve"> and the enactment of more adaptive law and regulations that place effective controls on</w:t>
      </w:r>
      <w:r w:rsidR="00157389">
        <w:rPr>
          <w:rFonts w:ascii="Times New Roman" w:hAnsi="Times New Roman" w:cs="Times New Roman"/>
        </w:rPr>
        <w:t xml:space="preserve"> the</w:t>
      </w:r>
      <w:r w:rsidRPr="00C54044">
        <w:rPr>
          <w:rFonts w:ascii="Times New Roman" w:hAnsi="Times New Roman" w:cs="Times New Roman"/>
        </w:rPr>
        <w:t xml:space="preserve"> utilization of for</w:t>
      </w:r>
      <w:r w:rsidR="00157389">
        <w:rPr>
          <w:rFonts w:ascii="Times New Roman" w:hAnsi="Times New Roman" w:cs="Times New Roman"/>
        </w:rPr>
        <w:t xml:space="preserve">ested landscapes, specifically through </w:t>
      </w:r>
      <w:r w:rsidRPr="00C54044">
        <w:rPr>
          <w:rFonts w:ascii="Times New Roman" w:hAnsi="Times New Roman" w:cs="Times New Roman"/>
        </w:rPr>
        <w:t>demonstrat</w:t>
      </w:r>
      <w:r w:rsidR="00157389">
        <w:rPr>
          <w:rFonts w:ascii="Times New Roman" w:hAnsi="Times New Roman" w:cs="Times New Roman"/>
        </w:rPr>
        <w:t>ing</w:t>
      </w:r>
      <w:r w:rsidRPr="00C54044">
        <w:rPr>
          <w:rFonts w:ascii="Times New Roman" w:hAnsi="Times New Roman" w:cs="Times New Roman"/>
        </w:rPr>
        <w:t xml:space="preserve"> to villages within the watershed how the application </w:t>
      </w:r>
      <w:r w:rsidR="00157389">
        <w:rPr>
          <w:rFonts w:ascii="Times New Roman" w:hAnsi="Times New Roman" w:cs="Times New Roman"/>
        </w:rPr>
        <w:t xml:space="preserve">of </w:t>
      </w:r>
      <w:r w:rsidRPr="00C54044">
        <w:rPr>
          <w:rFonts w:ascii="Times New Roman" w:hAnsi="Times New Roman" w:cs="Times New Roman"/>
        </w:rPr>
        <w:t>SLM, SFM/REDD+ principles and practices could generate carbon sequestration benefits that would have both local area and global values.</w:t>
      </w:r>
    </w:p>
    <w:p w14:paraId="5FA14D01" w:rsidR="00C54044" w:rsidRPr="00C54044" w:rsidRDefault="00C54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54044">
        <w:rPr>
          <w:rFonts w:ascii="Times New Roman" w:hAnsi="Times New Roman" w:cs="Times New Roman"/>
        </w:rPr>
        <w:t xml:space="preserve">The considerable benefits from the application of SLM, SFM/REDD+ and </w:t>
      </w:r>
      <w:r w:rsidR="00157389">
        <w:rPr>
          <w:rFonts w:ascii="Times New Roman" w:hAnsi="Times New Roman" w:cs="Times New Roman"/>
        </w:rPr>
        <w:t>C</w:t>
      </w:r>
      <w:r w:rsidRPr="00C54044">
        <w:rPr>
          <w:rFonts w:ascii="Times New Roman" w:hAnsi="Times New Roman" w:cs="Times New Roman"/>
        </w:rPr>
        <w:t xml:space="preserve">C adaptation practices and principles tailored by local area villagers while applying home grown rules of conduct will also fully </w:t>
      </w:r>
      <w:r w:rsidR="00157389">
        <w:rPr>
          <w:rFonts w:ascii="Times New Roman" w:hAnsi="Times New Roman" w:cs="Times New Roman"/>
        </w:rPr>
        <w:t>support</w:t>
      </w:r>
      <w:r w:rsidRPr="00C54044">
        <w:rPr>
          <w:rFonts w:ascii="Times New Roman" w:hAnsi="Times New Roman" w:cs="Times New Roman"/>
        </w:rPr>
        <w:t xml:space="preserve"> science-based needs research.  To achieve this purpose</w:t>
      </w:r>
      <w:r w:rsidR="00157389">
        <w:rPr>
          <w:rFonts w:ascii="Times New Roman" w:hAnsi="Times New Roman" w:cs="Times New Roman"/>
        </w:rPr>
        <w:t>,</w:t>
      </w:r>
      <w:r w:rsidRPr="00C54044">
        <w:rPr>
          <w:rFonts w:ascii="Times New Roman" w:hAnsi="Times New Roman" w:cs="Times New Roman"/>
        </w:rPr>
        <w:t xml:space="preserve"> the pro</w:t>
      </w:r>
      <w:r w:rsidR="00157389">
        <w:rPr>
          <w:rFonts w:ascii="Times New Roman" w:hAnsi="Times New Roman" w:cs="Times New Roman"/>
        </w:rPr>
        <w:t>ject will implement a watershed-</w:t>
      </w:r>
      <w:r w:rsidRPr="00C54044">
        <w:rPr>
          <w:rFonts w:ascii="Times New Roman" w:hAnsi="Times New Roman" w:cs="Times New Roman"/>
        </w:rPr>
        <w:t>wide water quality protocol for monitoring, measuring, evaluating and responding to the state of run-off with regard to potable water and sedimentation and where the local area community will work together with Centers of Excellence in the effort over the five (5) year project period and beyond.  The potential science-based agencies that could contribute to planning for and implementation of the water quality protocol include:  The Caribbean Environment Health Institute (CEHI)</w:t>
      </w:r>
      <w:r w:rsidR="00157389">
        <w:rPr>
          <w:rFonts w:ascii="Times New Roman" w:hAnsi="Times New Roman" w:cs="Times New Roman"/>
        </w:rPr>
        <w:t>,</w:t>
      </w:r>
      <w:r w:rsidRPr="00C54044">
        <w:rPr>
          <w:rFonts w:ascii="Times New Roman" w:hAnsi="Times New Roman" w:cs="Times New Roman"/>
        </w:rPr>
        <w:t xml:space="preserve"> the University of the West Indies, St. George</w:t>
      </w:r>
      <w:r w:rsidR="00157389">
        <w:rPr>
          <w:rFonts w:ascii="Times New Roman" w:hAnsi="Times New Roman" w:cs="Times New Roman"/>
        </w:rPr>
        <w:t>’</w:t>
      </w:r>
      <w:r w:rsidRPr="00C54044">
        <w:rPr>
          <w:rFonts w:ascii="Times New Roman" w:hAnsi="Times New Roman" w:cs="Times New Roman"/>
        </w:rPr>
        <w:t>s University</w:t>
      </w:r>
      <w:r w:rsidR="00157389">
        <w:rPr>
          <w:rFonts w:ascii="Times New Roman" w:hAnsi="Times New Roman" w:cs="Times New Roman"/>
        </w:rPr>
        <w:t>,</w:t>
      </w:r>
      <w:r w:rsidRPr="00C54044">
        <w:rPr>
          <w:rFonts w:ascii="Times New Roman" w:hAnsi="Times New Roman" w:cs="Times New Roman"/>
        </w:rPr>
        <w:t xml:space="preserve"> and the Nati</w:t>
      </w:r>
      <w:r w:rsidR="00157389">
        <w:rPr>
          <w:rFonts w:ascii="Times New Roman" w:hAnsi="Times New Roman" w:cs="Times New Roman"/>
        </w:rPr>
        <w:t xml:space="preserve">onal Water and Sewage Authority, which </w:t>
      </w:r>
      <w:r w:rsidRPr="00C54044">
        <w:rPr>
          <w:rFonts w:ascii="Times New Roman" w:hAnsi="Times New Roman" w:cs="Times New Roman"/>
        </w:rPr>
        <w:t xml:space="preserve">has considerable working experience with point-based measurements of water quality </w:t>
      </w:r>
      <w:r w:rsidR="00157389">
        <w:rPr>
          <w:rFonts w:ascii="Times New Roman" w:hAnsi="Times New Roman" w:cs="Times New Roman"/>
        </w:rPr>
        <w:t>in</w:t>
      </w:r>
      <w:r w:rsidRPr="00C54044">
        <w:rPr>
          <w:rFonts w:ascii="Times New Roman" w:hAnsi="Times New Roman" w:cs="Times New Roman"/>
        </w:rPr>
        <w:t xml:space="preserve"> Grenada</w:t>
      </w:r>
      <w:r w:rsidR="00157389">
        <w:rPr>
          <w:rFonts w:ascii="Times New Roman" w:hAnsi="Times New Roman" w:cs="Times New Roman"/>
        </w:rPr>
        <w:t>’s</w:t>
      </w:r>
      <w:r w:rsidRPr="00C54044">
        <w:rPr>
          <w:rFonts w:ascii="Times New Roman" w:hAnsi="Times New Roman" w:cs="Times New Roman"/>
        </w:rPr>
        <w:t xml:space="preserve"> water source.  The co-management approach for applying this protocol will maximize benefits when local area persons participate in the ongoing MMER exercises and when an arrangement is made to involve local area villagers in the direct evaluation and response aspects of the process.  The evaluation and response within the MMER exercises will be made most effective when fullest recognition is given to demonstrating how farming and land based practices impact on the quality of the MPA habitats on the downstream seascapes with time.</w:t>
      </w:r>
    </w:p>
    <w:p w14:paraId="46DDC58E" w:rsidR="00C926FA" w:rsidRPr="00D426B3" w:rsidRDefault="00D938C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 xml:space="preserve">Finally,  the </w:t>
      </w:r>
      <w:r w:rsidR="00C926FA" w:rsidRPr="00D426B3">
        <w:rPr>
          <w:rFonts w:ascii="Times New Roman" w:hAnsi="Times New Roman" w:cs="Times New Roman"/>
        </w:rPr>
        <w:t xml:space="preserve">project  will undertake  awareness  raising  on sustainable  agricultural  practices,  including  documentation   of traditional  knowledge  and best practices demonstrated  through the project, and will support curriculum  enhancement  for schools and science clubs; the project will examine the replicability of watershed management based on lessons learned </w:t>
      </w:r>
      <w:r>
        <w:rPr>
          <w:rFonts w:ascii="Times New Roman" w:hAnsi="Times New Roman" w:cs="Times New Roman"/>
        </w:rPr>
        <w:t>in Output 2.2’s pilot interventions in</w:t>
      </w:r>
      <w:r w:rsidR="00C926FA" w:rsidRPr="00D426B3">
        <w:rPr>
          <w:rFonts w:ascii="Times New Roman" w:hAnsi="Times New Roman" w:cs="Times New Roman"/>
        </w:rPr>
        <w:t xml:space="preserve"> the Beausejour watershed. </w:t>
      </w:r>
    </w:p>
    <w:p w14:paraId="0BFC1834" w:rsidR="00953044" w:rsidRPr="00157389" w:rsidRDefault="00953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157389">
        <w:rPr>
          <w:rFonts w:ascii="Times New Roman" w:hAnsi="Times New Roman" w:cs="Times New Roman"/>
        </w:rPr>
        <w:t>Later  in  the  project,  offset  benefits  will  be achieved  through  increasing  PA  management   effectiveness   as  SLM  and  SFM activities  in the watershed reduce pressures on the Annandale  Forest Reserve and the Moliniere / Beausejour and Grande Anse MPAs. Under Output 2.1, the project will create to plan, monitor and adapt land management across the watershed</w:t>
      </w:r>
      <w:r w:rsidR="00157389">
        <w:rPr>
          <w:rFonts w:ascii="Times New Roman" w:hAnsi="Times New Roman" w:cs="Times New Roman"/>
        </w:rPr>
        <w:t>. The watershed management plan (covering  1,547 hectares)</w:t>
      </w:r>
      <w:r w:rsidRPr="00157389">
        <w:rPr>
          <w:rFonts w:ascii="Times New Roman" w:hAnsi="Times New Roman" w:cs="Times New Roman"/>
        </w:rPr>
        <w:t xml:space="preserve"> will identify various LD risk</w:t>
      </w:r>
      <w:r w:rsidR="00157389">
        <w:rPr>
          <w:rFonts w:ascii="Times New Roman" w:hAnsi="Times New Roman" w:cs="Times New Roman"/>
        </w:rPr>
        <w:t>s and vulnerability</w:t>
      </w:r>
      <w:r w:rsidRPr="00157389">
        <w:rPr>
          <w:rFonts w:ascii="Times New Roman" w:hAnsi="Times New Roman" w:cs="Times New Roman"/>
        </w:rPr>
        <w:t xml:space="preserve"> areas within the watershed; plan the appropriate avoidance, reduction, rehabilitation and offset  approaches;  explore  financing  options  for  these  approaches;  and serve  as a mechanism  to replicate  the community  level  demonstrations  throughout the watershed.</w:t>
      </w:r>
    </w:p>
    <w:p w14:paraId="7E4EB3CC" w:rsidR="00266704" w:rsidRPr="00712737" w:rsidRDefault="00266704" w:rsidP="00266704">
      <w:pPr>
        <w:pStyle w:val="ListParagraph"/>
        <w:spacing w:after="240" w:line="240" w:lineRule="auto"/>
        <w:ind w:left="0"/>
        <w:contextualSpacing w:val="0"/>
        <w:rPr>
          <w:rFonts w:ascii="Times New Roman" w:hAnsi="Times New Roman" w:cs="Times New Roman"/>
          <w:b/>
          <w:i/>
        </w:rPr>
      </w:pPr>
      <w:r w:rsidRPr="00712737">
        <w:rPr>
          <w:rFonts w:ascii="Times New Roman" w:hAnsi="Times New Roman" w:cs="Times New Roman"/>
          <w:b/>
          <w:i/>
        </w:rPr>
        <w:t xml:space="preserve">Output 2.2 </w:t>
      </w:r>
      <w:r w:rsidR="00712737" w:rsidRPr="00712737">
        <w:rPr>
          <w:rFonts w:ascii="Times New Roman" w:hAnsi="Times New Roman" w:cs="Times New Roman"/>
          <w:b/>
          <w:i/>
        </w:rPr>
        <w:t>I</w:t>
      </w:r>
      <w:r w:rsidRPr="00712737">
        <w:rPr>
          <w:rFonts w:ascii="Times New Roman" w:hAnsi="Times New Roman" w:cs="Times New Roman"/>
          <w:b/>
          <w:i/>
        </w:rPr>
        <w:t>mproved SLM and SFM practices in 6 communities resulting in reduced deforestation and land and forest degradation in the landscapes surrounding PAs.</w:t>
      </w:r>
    </w:p>
    <w:p w14:paraId="49617276" w:rsidR="00266704" w:rsidRPr="00953044" w:rsidRDefault="00953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953044">
        <w:rPr>
          <w:rFonts w:ascii="Times New Roman" w:hAnsi="Times New Roman" w:cs="Times New Roman"/>
        </w:rPr>
        <w:t>This output</w:t>
      </w:r>
      <w:r w:rsidR="00266704" w:rsidRPr="00953044">
        <w:rPr>
          <w:rFonts w:ascii="Times New Roman" w:hAnsi="Times New Roman" w:cs="Times New Roman"/>
        </w:rPr>
        <w:t xml:space="preserve"> is designed to </w:t>
      </w:r>
      <w:r>
        <w:rPr>
          <w:rFonts w:ascii="Times New Roman" w:hAnsi="Times New Roman" w:cs="Times New Roman"/>
        </w:rPr>
        <w:t xml:space="preserve">provide replicable </w:t>
      </w:r>
      <w:r w:rsidRPr="00953044">
        <w:rPr>
          <w:rFonts w:ascii="Times New Roman" w:hAnsi="Times New Roman" w:cs="Times New Roman"/>
          <w:i/>
        </w:rPr>
        <w:t>in situ</w:t>
      </w:r>
      <w:r>
        <w:rPr>
          <w:rFonts w:ascii="Times New Roman" w:hAnsi="Times New Roman" w:cs="Times New Roman"/>
        </w:rPr>
        <w:t xml:space="preserve"> demonstrations of </w:t>
      </w:r>
      <w:r w:rsidR="00266704" w:rsidRPr="00953044">
        <w:rPr>
          <w:rFonts w:ascii="Times New Roman" w:hAnsi="Times New Roman" w:cs="Times New Roman"/>
        </w:rPr>
        <w:t>respon</w:t>
      </w:r>
      <w:r>
        <w:rPr>
          <w:rFonts w:ascii="Times New Roman" w:hAnsi="Times New Roman" w:cs="Times New Roman"/>
        </w:rPr>
        <w:t>ses</w:t>
      </w:r>
      <w:r w:rsidR="00266704" w:rsidRPr="00953044">
        <w:rPr>
          <w:rFonts w:ascii="Times New Roman" w:hAnsi="Times New Roman" w:cs="Times New Roman"/>
        </w:rPr>
        <w:t xml:space="preserve"> to a number of compounding threats relating to deforestation and deterioration in the integrity of steep landscapes due to increasing exposure of soils caused by the effects of a series of annual forest fires and the impacts of recent hurricanes.  As a result of these natural hazards</w:t>
      </w:r>
      <w:r w:rsidRPr="00953044">
        <w:rPr>
          <w:rFonts w:ascii="Times New Roman" w:hAnsi="Times New Roman" w:cs="Times New Roman"/>
        </w:rPr>
        <w:t>,</w:t>
      </w:r>
      <w:r w:rsidR="00266704" w:rsidRPr="00953044">
        <w:rPr>
          <w:rFonts w:ascii="Times New Roman" w:hAnsi="Times New Roman" w:cs="Times New Roman"/>
        </w:rPr>
        <w:t xml:space="preserve"> the forested vegetation is </w:t>
      </w:r>
      <w:r w:rsidRPr="00953044">
        <w:rPr>
          <w:rFonts w:ascii="Times New Roman" w:hAnsi="Times New Roman" w:cs="Times New Roman"/>
        </w:rPr>
        <w:t>only regenerating</w:t>
      </w:r>
      <w:r w:rsidR="00266704" w:rsidRPr="00953044">
        <w:rPr>
          <w:rFonts w:ascii="Times New Roman" w:hAnsi="Times New Roman" w:cs="Times New Roman"/>
        </w:rPr>
        <w:t xml:space="preserve"> with low shrubs and grasses appearing as “sores” on landscapes with scattered forest cover.  </w:t>
      </w:r>
      <w:r>
        <w:rPr>
          <w:rFonts w:ascii="Times New Roman" w:hAnsi="Times New Roman" w:cs="Times New Roman"/>
        </w:rPr>
        <w:t>This</w:t>
      </w:r>
      <w:r w:rsidR="00266704" w:rsidRPr="00953044">
        <w:rPr>
          <w:rFonts w:ascii="Times New Roman" w:hAnsi="Times New Roman" w:cs="Times New Roman"/>
        </w:rPr>
        <w:t xml:space="preserve"> </w:t>
      </w:r>
      <w:r>
        <w:rPr>
          <w:rFonts w:ascii="Times New Roman" w:hAnsi="Times New Roman" w:cs="Times New Roman"/>
        </w:rPr>
        <w:t>“</w:t>
      </w:r>
      <w:r w:rsidR="00266704" w:rsidRPr="00953044">
        <w:rPr>
          <w:rFonts w:ascii="Times New Roman" w:hAnsi="Times New Roman" w:cs="Times New Roman"/>
        </w:rPr>
        <w:t>natural destruction</w:t>
      </w:r>
      <w:r>
        <w:rPr>
          <w:rFonts w:ascii="Times New Roman" w:hAnsi="Times New Roman" w:cs="Times New Roman"/>
        </w:rPr>
        <w:t>”</w:t>
      </w:r>
      <w:r w:rsidR="00266704" w:rsidRPr="00953044">
        <w:rPr>
          <w:rFonts w:ascii="Times New Roman" w:hAnsi="Times New Roman" w:cs="Times New Roman"/>
        </w:rPr>
        <w:t xml:space="preserve"> of forested cover </w:t>
      </w:r>
      <w:r>
        <w:rPr>
          <w:rFonts w:ascii="Times New Roman" w:hAnsi="Times New Roman" w:cs="Times New Roman"/>
        </w:rPr>
        <w:t>is exacerbated by</w:t>
      </w:r>
      <w:r w:rsidR="00266704" w:rsidRPr="00953044">
        <w:rPr>
          <w:rFonts w:ascii="Times New Roman" w:hAnsi="Times New Roman" w:cs="Times New Roman"/>
        </w:rPr>
        <w:t xml:space="preserve"> chang</w:t>
      </w:r>
      <w:r>
        <w:rPr>
          <w:rFonts w:ascii="Times New Roman" w:hAnsi="Times New Roman" w:cs="Times New Roman"/>
        </w:rPr>
        <w:t>es in</w:t>
      </w:r>
      <w:r w:rsidR="00266704" w:rsidRPr="00953044">
        <w:rPr>
          <w:rFonts w:ascii="Times New Roman" w:hAnsi="Times New Roman" w:cs="Times New Roman"/>
        </w:rPr>
        <w:t xml:space="preserve"> farming practices from tree crops agro-forestry to cash crops</w:t>
      </w:r>
      <w:r>
        <w:rPr>
          <w:rFonts w:ascii="Times New Roman" w:hAnsi="Times New Roman" w:cs="Times New Roman"/>
        </w:rPr>
        <w:t>,</w:t>
      </w:r>
      <w:r w:rsidR="00266704" w:rsidRPr="00953044">
        <w:rPr>
          <w:rFonts w:ascii="Times New Roman" w:hAnsi="Times New Roman" w:cs="Times New Roman"/>
        </w:rPr>
        <w:t xml:space="preserve"> and where tillage practices pose direct threats to both forest cover and integrity of soils.  The </w:t>
      </w:r>
      <w:r w:rsidRPr="00953044">
        <w:rPr>
          <w:rFonts w:ascii="Times New Roman" w:hAnsi="Times New Roman" w:cs="Times New Roman"/>
        </w:rPr>
        <w:t xml:space="preserve">Output’s </w:t>
      </w:r>
      <w:r w:rsidR="00266704" w:rsidRPr="00953044">
        <w:rPr>
          <w:rFonts w:ascii="Times New Roman" w:hAnsi="Times New Roman" w:cs="Times New Roman"/>
        </w:rPr>
        <w:t xml:space="preserve">responses to threats will therefore use three activities that </w:t>
      </w:r>
      <w:r w:rsidRPr="00953044">
        <w:rPr>
          <w:rFonts w:ascii="Times New Roman" w:hAnsi="Times New Roman" w:cs="Times New Roman"/>
        </w:rPr>
        <w:t>will</w:t>
      </w:r>
      <w:r w:rsidR="00266704" w:rsidRPr="00953044">
        <w:rPr>
          <w:rFonts w:ascii="Times New Roman" w:hAnsi="Times New Roman" w:cs="Times New Roman"/>
        </w:rPr>
        <w:t xml:space="preserve"> couple the economic livelihood interests of farmers/sea users and with land owners</w:t>
      </w:r>
      <w:r w:rsidR="00D632F5">
        <w:rPr>
          <w:rFonts w:ascii="Times New Roman" w:hAnsi="Times New Roman" w:cs="Times New Roman"/>
        </w:rPr>
        <w:t>’</w:t>
      </w:r>
      <w:r w:rsidR="00266704" w:rsidRPr="00953044">
        <w:rPr>
          <w:rFonts w:ascii="Times New Roman" w:hAnsi="Times New Roman" w:cs="Times New Roman"/>
        </w:rPr>
        <w:t xml:space="preserve"> interests coupling with the vested interest of Competent Authorities, for the management and conservation of the BD and Ecosystems Services.  The co-management approach will again </w:t>
      </w:r>
      <w:r w:rsidRPr="00953044">
        <w:rPr>
          <w:rFonts w:ascii="Times New Roman" w:hAnsi="Times New Roman" w:cs="Times New Roman"/>
        </w:rPr>
        <w:t>focus on</w:t>
      </w:r>
      <w:r w:rsidR="00266704" w:rsidRPr="00953044">
        <w:rPr>
          <w:rFonts w:ascii="Times New Roman" w:hAnsi="Times New Roman" w:cs="Times New Roman"/>
        </w:rPr>
        <w:t xml:space="preserve"> Integrated Natural Resource Management SLM/ SFM / REDD+ SLM and CC adaption practices that </w:t>
      </w:r>
      <w:r w:rsidRPr="00953044">
        <w:rPr>
          <w:rFonts w:ascii="Times New Roman" w:hAnsi="Times New Roman" w:cs="Times New Roman"/>
        </w:rPr>
        <w:t>engage</w:t>
      </w:r>
      <w:r w:rsidR="00266704" w:rsidRPr="00953044">
        <w:rPr>
          <w:rFonts w:ascii="Times New Roman" w:hAnsi="Times New Roman" w:cs="Times New Roman"/>
        </w:rPr>
        <w:t xml:space="preserve"> local area persons’ economic vested interests </w:t>
      </w:r>
      <w:r w:rsidRPr="00953044">
        <w:rPr>
          <w:rFonts w:ascii="Times New Roman" w:hAnsi="Times New Roman" w:cs="Times New Roman"/>
        </w:rPr>
        <w:t>in</w:t>
      </w:r>
      <w:r w:rsidR="00266704" w:rsidRPr="00953044">
        <w:rPr>
          <w:rFonts w:ascii="Times New Roman" w:hAnsi="Times New Roman" w:cs="Times New Roman"/>
        </w:rPr>
        <w:t xml:space="preserve"> 6 communities with those of stewardship of the BD and ecosystem services within the watershed and including the TPA and MPA.</w:t>
      </w:r>
    </w:p>
    <w:p w14:paraId="2859B2FF" w:rsidR="009E6BB4" w:rsidRPr="009E6BB4" w:rsidRDefault="007816C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9E6BB4">
        <w:rPr>
          <w:rFonts w:ascii="Times New Roman" w:hAnsi="Times New Roman" w:cs="Times New Roman"/>
        </w:rPr>
        <w:t xml:space="preserve">The </w:t>
      </w:r>
      <w:r w:rsidR="00D938C4" w:rsidRPr="009E6BB4">
        <w:rPr>
          <w:rFonts w:ascii="Times New Roman" w:hAnsi="Times New Roman" w:cs="Times New Roman"/>
        </w:rPr>
        <w:t>field-level interventions will focus on six communities (Beausejour, Happy Hill, Granville Vale,</w:t>
      </w:r>
      <w:r w:rsidR="00D632F5" w:rsidRPr="009E6BB4">
        <w:rPr>
          <w:rFonts w:ascii="Times New Roman" w:hAnsi="Times New Roman" w:cs="Times New Roman"/>
        </w:rPr>
        <w:t xml:space="preserve"> </w:t>
      </w:r>
      <w:r w:rsidR="00D938C4" w:rsidRPr="009E6BB4">
        <w:rPr>
          <w:rFonts w:ascii="Times New Roman" w:hAnsi="Times New Roman" w:cs="Times New Roman"/>
        </w:rPr>
        <w:t xml:space="preserve">New Hampshire, Annandale and Vendome), covering an area of 1,019 hectares. </w:t>
      </w:r>
      <w:r w:rsidR="009E6BB4" w:rsidRPr="009E6BB4">
        <w:rPr>
          <w:rFonts w:ascii="Times New Roman" w:hAnsi="Times New Roman" w:cs="Times New Roman"/>
        </w:rPr>
        <w:t xml:space="preserve">These communities were selected based on: (1) proximity to and impact on degradation of habitat and ecosystem services in protected areas (the Annandale Forest Reserve within the watershed and/or the two MPAs downstream of the watershed), particularly soil erosion, sedimentation and forest encroachment; (2) potential benefits for local livelihoods; and (3) community capacity and/or experience with previous conservation activities.  Interventions using sustainable agricultural practices are intended to reduce negative impacts on biodiversity, to minimize land degradation, erosion and deforestation, and to create sustainable alternative livelihood opportunities for local inhabitants.   </w:t>
      </w:r>
    </w:p>
    <w:p w14:paraId="635EA110" w:rsidR="00B620DF" w:rsidRPr="00B620DF" w:rsidRDefault="00712737"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B620DF">
        <w:rPr>
          <w:rFonts w:ascii="Times New Roman" w:hAnsi="Times New Roman" w:cs="Times New Roman"/>
        </w:rPr>
        <w:t>In the short-te</w:t>
      </w:r>
      <w:r w:rsidR="00D632F5" w:rsidRPr="00B620DF">
        <w:rPr>
          <w:rFonts w:ascii="Times New Roman" w:hAnsi="Times New Roman" w:cs="Times New Roman"/>
        </w:rPr>
        <w:t>rm,  the site level work in the</w:t>
      </w:r>
      <w:r w:rsidRPr="00B620DF">
        <w:rPr>
          <w:rFonts w:ascii="Times New Roman" w:hAnsi="Times New Roman" w:cs="Times New Roman"/>
        </w:rPr>
        <w:t xml:space="preserve"> six  communities will test and  demonstrate different   avoidance,  r</w:t>
      </w:r>
      <w:r w:rsidR="00B620DF" w:rsidRPr="00B620DF">
        <w:rPr>
          <w:rFonts w:ascii="Times New Roman" w:hAnsi="Times New Roman" w:cs="Times New Roman"/>
        </w:rPr>
        <w:t>eduction and  rehabilitation</w:t>
      </w:r>
      <w:r w:rsidRPr="00B620DF">
        <w:rPr>
          <w:rFonts w:ascii="Times New Roman" w:hAnsi="Times New Roman" w:cs="Times New Roman"/>
        </w:rPr>
        <w:t xml:space="preserve"> work  </w:t>
      </w:r>
      <w:r w:rsidR="005E5C64" w:rsidRPr="00B620DF">
        <w:rPr>
          <w:rFonts w:ascii="Times New Roman" w:hAnsi="Times New Roman" w:cs="Times New Roman"/>
        </w:rPr>
        <w:t xml:space="preserve">under the auspices of </w:t>
      </w:r>
      <w:r w:rsidR="00B620DF" w:rsidRPr="00B620DF">
        <w:rPr>
          <w:rFonts w:ascii="Times New Roman" w:hAnsi="Times New Roman" w:cs="Times New Roman"/>
          <w:u w:val="single"/>
        </w:rPr>
        <w:t>Sustainable Agricultural Production</w:t>
      </w:r>
      <w:r w:rsidRPr="00B620DF">
        <w:rPr>
          <w:rFonts w:ascii="Times New Roman" w:hAnsi="Times New Roman" w:cs="Times New Roman"/>
        </w:rPr>
        <w:t>, including:  soil conservation  practices (use of vegetative strips</w:t>
      </w:r>
      <w:r w:rsidR="00D632F5" w:rsidRPr="00B620DF">
        <w:rPr>
          <w:rFonts w:ascii="Times New Roman" w:hAnsi="Times New Roman" w:cs="Times New Roman"/>
        </w:rPr>
        <w:t>;</w:t>
      </w:r>
      <w:r w:rsidRPr="00B620DF">
        <w:rPr>
          <w:rFonts w:ascii="Times New Roman" w:hAnsi="Times New Roman" w:cs="Times New Roman"/>
        </w:rPr>
        <w:t xml:space="preserve"> cover </w:t>
      </w:r>
      <w:r w:rsidR="00D632F5" w:rsidRPr="00B620DF">
        <w:rPr>
          <w:rFonts w:ascii="Times New Roman" w:hAnsi="Times New Roman" w:cs="Times New Roman"/>
        </w:rPr>
        <w:t>crops; contour farming; minimum</w:t>
      </w:r>
      <w:r w:rsidRPr="00B620DF">
        <w:rPr>
          <w:rFonts w:ascii="Times New Roman" w:hAnsi="Times New Roman" w:cs="Times New Roman"/>
        </w:rPr>
        <w:t xml:space="preserve"> soil tillage); water management practices  (rain water harvesting; improve</w:t>
      </w:r>
      <w:r w:rsidR="00D632F5" w:rsidRPr="00B620DF">
        <w:rPr>
          <w:rFonts w:ascii="Times New Roman" w:hAnsi="Times New Roman" w:cs="Times New Roman"/>
        </w:rPr>
        <w:t>d</w:t>
      </w:r>
      <w:r w:rsidRPr="00B620DF">
        <w:rPr>
          <w:rFonts w:ascii="Times New Roman" w:hAnsi="Times New Roman" w:cs="Times New Roman"/>
        </w:rPr>
        <w:t xml:space="preserve"> drainage and storm water control);  and sustainable soil enrichment practices</w:t>
      </w:r>
      <w:r w:rsidR="00D632F5" w:rsidRPr="00B620DF">
        <w:rPr>
          <w:rFonts w:ascii="Times New Roman" w:hAnsi="Times New Roman" w:cs="Times New Roman"/>
        </w:rPr>
        <w:t xml:space="preserve"> </w:t>
      </w:r>
      <w:r w:rsidRPr="00B620DF">
        <w:rPr>
          <w:rFonts w:ascii="Times New Roman" w:hAnsi="Times New Roman" w:cs="Times New Roman"/>
        </w:rPr>
        <w:t>(increased use of organi</w:t>
      </w:r>
      <w:r w:rsidR="00D632F5" w:rsidRPr="00B620DF">
        <w:rPr>
          <w:rFonts w:ascii="Times New Roman" w:hAnsi="Times New Roman" w:cs="Times New Roman"/>
        </w:rPr>
        <w:t>c matter; reduced use of inorganic  fertilizers) in an area of up to 132.4 hectares</w:t>
      </w:r>
      <w:r w:rsidRPr="00B620DF">
        <w:rPr>
          <w:rFonts w:ascii="Times New Roman" w:hAnsi="Times New Roman" w:cs="Times New Roman"/>
        </w:rPr>
        <w:t xml:space="preserve"> of existing cropland (as well as some currently abandoned  agricultural  land) and with the participation of up to 400 farmers. </w:t>
      </w:r>
      <w:r w:rsidR="00953044" w:rsidRPr="00B620DF">
        <w:rPr>
          <w:rFonts w:ascii="Times New Roman" w:hAnsi="Times New Roman" w:cs="Times New Roman"/>
        </w:rPr>
        <w:t>Activities in these communities</w:t>
      </w:r>
      <w:r w:rsidRPr="00B620DF">
        <w:rPr>
          <w:rFonts w:ascii="Times New Roman" w:hAnsi="Times New Roman" w:cs="Times New Roman"/>
        </w:rPr>
        <w:t xml:space="preserve"> will also include apiculture (introduction of improved breeding stock; procurement of 250 hives for sale to beekeepers) with up to 50 participants.  </w:t>
      </w:r>
      <w:r w:rsidRPr="00B620DF">
        <w:rPr>
          <w:rFonts w:ascii="Times New Roman" w:hAnsi="Times New Roman" w:cs="Times New Roman"/>
          <w:u w:val="single"/>
        </w:rPr>
        <w:t>Sustainable livestock management</w:t>
      </w:r>
      <w:r w:rsidRPr="00B620DF">
        <w:rPr>
          <w:rFonts w:ascii="Times New Roman" w:hAnsi="Times New Roman" w:cs="Times New Roman"/>
        </w:rPr>
        <w:t xml:space="preserve"> will focus on protection  measures for riparian  zones  (up to  210  hectares),  including  assessment  of grazing impacts/carrying  capacities; fencing; and monitoring and enforcement of grazing regulations. </w:t>
      </w:r>
      <w:r w:rsidRPr="00B620DF">
        <w:rPr>
          <w:rFonts w:ascii="Times New Roman" w:hAnsi="Times New Roman" w:cs="Times New Roman"/>
          <w:u w:val="single"/>
        </w:rPr>
        <w:t>Sustainable</w:t>
      </w:r>
      <w:r w:rsidR="005E5C64" w:rsidRPr="00B620DF">
        <w:rPr>
          <w:rFonts w:ascii="Times New Roman" w:hAnsi="Times New Roman" w:cs="Times New Roman"/>
          <w:u w:val="single"/>
        </w:rPr>
        <w:t xml:space="preserve"> forest </w:t>
      </w:r>
      <w:r w:rsidRPr="00B620DF">
        <w:rPr>
          <w:rFonts w:ascii="Times New Roman" w:hAnsi="Times New Roman" w:cs="Times New Roman"/>
          <w:u w:val="single"/>
        </w:rPr>
        <w:t>management</w:t>
      </w:r>
      <w:r w:rsidRPr="00B620DF">
        <w:rPr>
          <w:rFonts w:ascii="Times New Roman" w:hAnsi="Times New Roman" w:cs="Times New Roman"/>
        </w:rPr>
        <w:t xml:space="preserve"> practices will include the</w:t>
      </w:r>
      <w:r w:rsidR="005E5C64" w:rsidRPr="00B620DF">
        <w:rPr>
          <w:rFonts w:ascii="Times New Roman" w:hAnsi="Times New Roman" w:cs="Times New Roman"/>
        </w:rPr>
        <w:t xml:space="preserve"> re-vegetation of 150 hectares</w:t>
      </w:r>
      <w:r w:rsidRPr="00B620DF">
        <w:rPr>
          <w:rFonts w:ascii="Times New Roman" w:hAnsi="Times New Roman" w:cs="Times New Roman"/>
        </w:rPr>
        <w:t xml:space="preserve"> of highly</w:t>
      </w:r>
      <w:r w:rsidR="005E5C64" w:rsidRPr="00B620DF">
        <w:rPr>
          <w:rFonts w:ascii="Times New Roman" w:hAnsi="Times New Roman" w:cs="Times New Roman"/>
        </w:rPr>
        <w:t>-</w:t>
      </w:r>
      <w:r w:rsidRPr="00B620DF">
        <w:rPr>
          <w:rFonts w:ascii="Times New Roman" w:hAnsi="Times New Roman" w:cs="Times New Roman"/>
        </w:rPr>
        <w:t>degraded land (where forest cover was almost completely removed  by hurricane  impacts)  with enrichment  planti</w:t>
      </w:r>
      <w:r w:rsidR="005E5C64" w:rsidRPr="00B620DF">
        <w:rPr>
          <w:rFonts w:ascii="Times New Roman" w:hAnsi="Times New Roman" w:cs="Times New Roman"/>
        </w:rPr>
        <w:t xml:space="preserve">ng  using agro-forestry  crops </w:t>
      </w:r>
      <w:r w:rsidRPr="00B620DF">
        <w:rPr>
          <w:rFonts w:ascii="Times New Roman" w:hAnsi="Times New Roman" w:cs="Times New Roman"/>
        </w:rPr>
        <w:t xml:space="preserve">(recommended  plant species  include  nutmeg,  cocoa, mangoes, soursop,  sugar  apple,  breadfruit,  breadnut, coconuts,  cinnamon,  clove; governor  plum, pomerac,  pommecytherre,   bois bande, passion fruit, pineapples  and pomegranate).  Seedlings  produced  by local nurseries  will be planted  and local community  members  and DFNP staff  will be trained  to maintain  and monitor  the re-vegetation   processes;  in  some places,  activities  also  will include  the removal  of invasive  alien  species  (e.g.  Bamboo)  that have colonized degraded areas.  </w:t>
      </w:r>
      <w:r w:rsidR="00B620DF" w:rsidRPr="00B620DF">
        <w:rPr>
          <w:rFonts w:ascii="Times New Roman" w:hAnsi="Times New Roman" w:cs="Times New Roman"/>
        </w:rPr>
        <w:t>Other  SFM  interventions</w:t>
      </w:r>
      <w:r w:rsidRPr="00B620DF">
        <w:rPr>
          <w:rFonts w:ascii="Times New Roman" w:hAnsi="Times New Roman" w:cs="Times New Roman"/>
        </w:rPr>
        <w:t xml:space="preserve"> will  include  rehabilitation  with native  forest  species  follo</w:t>
      </w:r>
      <w:r w:rsidR="00B620DF" w:rsidRPr="00B620DF">
        <w:rPr>
          <w:rFonts w:ascii="Times New Roman" w:hAnsi="Times New Roman" w:cs="Times New Roman"/>
        </w:rPr>
        <w:t xml:space="preserve">wing  the removal of invasive </w:t>
      </w:r>
      <w:r w:rsidRPr="00B620DF">
        <w:rPr>
          <w:rFonts w:ascii="Times New Roman" w:hAnsi="Times New Roman" w:cs="Times New Roman"/>
        </w:rPr>
        <w:t>bamboo  (in both  PAs  and  priv</w:t>
      </w:r>
      <w:r w:rsidR="00B620DF" w:rsidRPr="00B620DF">
        <w:rPr>
          <w:rFonts w:ascii="Times New Roman" w:hAnsi="Times New Roman" w:cs="Times New Roman"/>
        </w:rPr>
        <w:t>ate  lands);  fire  prevention and control;  and restrictions on slash</w:t>
      </w:r>
      <w:r w:rsidRPr="00B620DF">
        <w:rPr>
          <w:rFonts w:ascii="Times New Roman" w:hAnsi="Times New Roman" w:cs="Times New Roman"/>
        </w:rPr>
        <w:t xml:space="preserve"> and burn agriculture.  </w:t>
      </w:r>
    </w:p>
    <w:p w14:paraId="36205AE2" w:rsidR="009E6BB4" w:rsidRDefault="00712737" w:rsidP="009E6BB4">
      <w:pPr>
        <w:pStyle w:val="ListParagraph"/>
        <w:numPr>
          <w:ilvl w:val="0"/>
          <w:numId w:val="27"/>
        </w:numPr>
        <w:spacing w:after="240" w:line="240" w:lineRule="auto"/>
        <w:ind w:left="0" w:firstLine="0"/>
        <w:contextualSpacing w:val="0"/>
        <w:jc w:val="both"/>
        <w:rPr>
          <w:rFonts w:ascii="Times New Roman" w:hAnsi="Times New Roman" w:cs="Times New Roman"/>
        </w:rPr>
      </w:pPr>
      <w:r w:rsidRPr="00D632F5">
        <w:rPr>
          <w:rFonts w:ascii="Times New Roman" w:hAnsi="Times New Roman" w:cs="Times New Roman"/>
        </w:rPr>
        <w:t xml:space="preserve">All site level activities will include capacity building for farmers and </w:t>
      </w:r>
      <w:r w:rsidR="00B620DF">
        <w:rPr>
          <w:rFonts w:ascii="Times New Roman" w:hAnsi="Times New Roman" w:cs="Times New Roman"/>
        </w:rPr>
        <w:t xml:space="preserve">farmer organizations, product development for export compliance, and marketing assistance. </w:t>
      </w:r>
      <w:r w:rsidRPr="00D632F5">
        <w:rPr>
          <w:rFonts w:ascii="Times New Roman" w:hAnsi="Times New Roman" w:cs="Times New Roman"/>
        </w:rPr>
        <w:t xml:space="preserve"> </w:t>
      </w:r>
      <w:r w:rsidR="009E6BB4">
        <w:rPr>
          <w:rFonts w:ascii="Times New Roman" w:hAnsi="Times New Roman" w:cs="Times New Roman"/>
        </w:rPr>
        <w:t>The project expects that this assistance will result in an increase in income statistics for these communities</w:t>
      </w:r>
      <w:r w:rsidR="009C2E99">
        <w:rPr>
          <w:rStyle w:val="FootnoteReference"/>
          <w:rFonts w:ascii="Times New Roman" w:hAnsi="Times New Roman" w:cs="Times New Roman"/>
        </w:rPr>
        <w:footnoteReference w:id="20"/>
      </w:r>
      <w:r w:rsidR="009E6BB4">
        <w:rPr>
          <w:rFonts w:ascii="Times New Roman" w:hAnsi="Times New Roman" w:cs="Times New Roman"/>
        </w:rPr>
        <w:t>, currently registered as follows:</w:t>
      </w:r>
    </w:p>
    <w:p w14:paraId="4F24C587" w:rsidR="005774E3" w:rsidRPr="005774E3" w:rsidRDefault="005774E3" w:rsidP="005774E3">
      <w:pPr>
        <w:pStyle w:val="ListParagraph"/>
        <w:spacing w:after="240" w:line="240" w:lineRule="auto"/>
        <w:ind w:left="0"/>
        <w:contextualSpacing w:val="0"/>
        <w:jc w:val="both"/>
        <w:rPr>
          <w:rFonts w:ascii="Times New Roman" w:hAnsi="Times New Roman" w:cs="Times New Roman"/>
          <w:b/>
        </w:rPr>
      </w:pPr>
      <w:r w:rsidRPr="005774E3">
        <w:rPr>
          <w:rFonts w:ascii="Times New Roman" w:hAnsi="Times New Roman" w:cs="Times New Roman"/>
          <w:b/>
        </w:rPr>
        <w:t>Income Statistics for 6 Communities in the Beausejour Watershed</w:t>
      </w:r>
      <w:r w:rsidR="008B0413">
        <w:rPr>
          <w:rStyle w:val="FootnoteReference"/>
          <w:rFonts w:ascii="Times New Roman" w:hAnsi="Times New Roman" w:cs="Times New Roman"/>
          <w:b/>
        </w:rPr>
        <w:footnoteReference w:id="21"/>
      </w:r>
      <w:r w:rsidRPr="005774E3">
        <w:rPr>
          <w:rFonts w:ascii="Times New Roman" w:hAnsi="Times New Roman" w:cs="Times New Roman"/>
          <w:b/>
        </w:rPr>
        <w:t>:</w:t>
      </w:r>
    </w:p>
    <w:tbl>
      <w:tblPr>
        <w:tblW w:w="9361" w:type="dxa"/>
        <w:tblInd w:w="93" w:type="dxa"/>
        <w:tblLook w:val="04A0" w:firstRow="1" w:lastRow="0" w:firstColumn="1" w:lastColumn="0" w:noHBand="0" w:noVBand="1"/>
      </w:tblPr>
      <w:tblGrid>
        <w:gridCol w:w="1275"/>
        <w:gridCol w:w="1320"/>
        <w:gridCol w:w="1360"/>
        <w:gridCol w:w="1190"/>
        <w:gridCol w:w="996"/>
        <w:gridCol w:w="1300"/>
        <w:gridCol w:w="960"/>
        <w:gridCol w:w="960"/>
      </w:tblGrid>
      <w:tr w14:paraId="677AD139" w:rsidR="009E6BB4" w:rsidRPr="00DE3B69" w:rsidTr="00191697">
        <w:trPr>
          <w:trHeight w:val="300"/>
        </w:trPr>
        <w:tc>
          <w:tcPr>
            <w:tcW w:w="1275"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14D613E7"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 xml:space="preserve">Gross Income </w:t>
            </w:r>
          </w:p>
        </w:tc>
        <w:tc>
          <w:tcPr>
            <w:tcW w:w="7126" w:type="dxa"/>
            <w:gridSpan w:val="6"/>
            <w:tcBorders>
              <w:top w:val="single" w:sz="8" w:space="0" w:color="auto"/>
              <w:left w:val="nil"/>
              <w:bottom w:val="single" w:sz="4" w:space="0" w:color="auto"/>
              <w:right w:val="single" w:sz="4" w:space="0" w:color="auto"/>
            </w:tcBorders>
            <w:shd w:val="clear" w:color="auto" w:fill="auto"/>
            <w:vAlign w:val="bottom"/>
            <w:hideMark/>
          </w:tcPr>
          <w:p w14:paraId="419C8216"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Village</w:t>
            </w:r>
          </w:p>
        </w:tc>
        <w:tc>
          <w:tcPr>
            <w:tcW w:w="960"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14:paraId="7391B11B"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Total</w:t>
            </w:r>
          </w:p>
        </w:tc>
      </w:tr>
      <w:tr w14:paraId="45562147" w:rsidR="009E6BB4" w:rsidRPr="00DE3B69" w:rsidTr="00191697">
        <w:trPr>
          <w:trHeight w:val="367"/>
        </w:trPr>
        <w:tc>
          <w:tcPr>
            <w:tcW w:w="1275" w:type="dxa"/>
            <w:vMerge/>
            <w:tcBorders>
              <w:top w:val="single" w:sz="8" w:space="0" w:color="auto"/>
              <w:left w:val="single" w:sz="8" w:space="0" w:color="auto"/>
              <w:bottom w:val="single" w:sz="8" w:space="0" w:color="000000"/>
              <w:right w:val="single" w:sz="4" w:space="0" w:color="auto"/>
            </w:tcBorders>
            <w:vAlign w:val="center"/>
            <w:hideMark/>
          </w:tcPr>
          <w:p w14:paraId="62E6AC47" w:rsidR="009E6BB4" w:rsidRPr="00DE3B69" w:rsidRDefault="009E6BB4" w:rsidP="00191697">
            <w:pPr>
              <w:spacing w:after="0" w:line="240" w:lineRule="auto"/>
              <w:rPr>
                <w:rFonts w:ascii="Times New Roman" w:eastAsia="Times New Roman" w:hAnsi="Times New Roman" w:cs="Times New Roman"/>
                <w:color w:val="000000"/>
                <w:sz w:val="18"/>
                <w:szCs w:val="18"/>
              </w:rPr>
            </w:pPr>
          </w:p>
        </w:tc>
        <w:tc>
          <w:tcPr>
            <w:tcW w:w="1320" w:type="dxa"/>
            <w:tcBorders>
              <w:top w:val="nil"/>
              <w:left w:val="nil"/>
              <w:bottom w:val="single" w:sz="8" w:space="0" w:color="auto"/>
              <w:right w:val="single" w:sz="4" w:space="0" w:color="auto"/>
            </w:tcBorders>
            <w:shd w:val="clear" w:color="auto" w:fill="auto"/>
            <w:vAlign w:val="bottom"/>
            <w:hideMark/>
          </w:tcPr>
          <w:p w14:paraId="31EF5C00"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Happy Hill</w:t>
            </w:r>
          </w:p>
        </w:tc>
        <w:tc>
          <w:tcPr>
            <w:tcW w:w="1360" w:type="dxa"/>
            <w:tcBorders>
              <w:top w:val="nil"/>
              <w:left w:val="nil"/>
              <w:bottom w:val="single" w:sz="8" w:space="0" w:color="auto"/>
              <w:right w:val="single" w:sz="4" w:space="0" w:color="auto"/>
            </w:tcBorders>
            <w:shd w:val="clear" w:color="auto" w:fill="auto"/>
            <w:vAlign w:val="bottom"/>
            <w:hideMark/>
          </w:tcPr>
          <w:p w14:paraId="2CED4A6D"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Beausejour</w:t>
            </w:r>
          </w:p>
        </w:tc>
        <w:tc>
          <w:tcPr>
            <w:tcW w:w="1190" w:type="dxa"/>
            <w:tcBorders>
              <w:top w:val="nil"/>
              <w:left w:val="nil"/>
              <w:bottom w:val="single" w:sz="8" w:space="0" w:color="auto"/>
              <w:right w:val="single" w:sz="4" w:space="0" w:color="auto"/>
            </w:tcBorders>
            <w:shd w:val="clear" w:color="auto" w:fill="auto"/>
            <w:vAlign w:val="bottom"/>
            <w:hideMark/>
          </w:tcPr>
          <w:p w14:paraId="2E745E73"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Grenville Vale Estate</w:t>
            </w:r>
          </w:p>
        </w:tc>
        <w:tc>
          <w:tcPr>
            <w:tcW w:w="996" w:type="dxa"/>
            <w:tcBorders>
              <w:top w:val="nil"/>
              <w:left w:val="nil"/>
              <w:bottom w:val="single" w:sz="8" w:space="0" w:color="auto"/>
              <w:right w:val="single" w:sz="4" w:space="0" w:color="auto"/>
            </w:tcBorders>
            <w:shd w:val="clear" w:color="auto" w:fill="auto"/>
            <w:vAlign w:val="bottom"/>
            <w:hideMark/>
          </w:tcPr>
          <w:p w14:paraId="72041C13"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Anna</w:t>
            </w:r>
            <w:r>
              <w:rPr>
                <w:rFonts w:ascii="Times New Roman" w:hAnsi="Times New Roman" w:eastAsia="Times New Roman" w:cs="Times New Roman"/>
                <w:color w:val="000000"/>
                <w:sz w:val="18"/>
                <w:szCs w:val="18"/>
              </w:rPr>
              <w:t>n</w:t>
            </w:r>
            <w:r w:rsidRPr="00DE3B69">
              <w:rPr>
                <w:rFonts w:ascii="Times New Roman" w:hAnsi="Times New Roman" w:eastAsia="Times New Roman" w:cs="Times New Roman"/>
                <w:color w:val="000000"/>
                <w:sz w:val="18"/>
                <w:szCs w:val="18"/>
              </w:rPr>
              <w:t>dale</w:t>
            </w:r>
          </w:p>
        </w:tc>
        <w:tc>
          <w:tcPr>
            <w:tcW w:w="1300" w:type="dxa"/>
            <w:tcBorders>
              <w:top w:val="nil"/>
              <w:left w:val="nil"/>
              <w:bottom w:val="single" w:sz="8" w:space="0" w:color="auto"/>
              <w:right w:val="single" w:sz="4" w:space="0" w:color="auto"/>
            </w:tcBorders>
            <w:shd w:val="clear" w:color="auto" w:fill="auto"/>
            <w:vAlign w:val="bottom"/>
            <w:hideMark/>
          </w:tcPr>
          <w:p w14:paraId="6D9E1DD8"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New Hampshire</w:t>
            </w:r>
          </w:p>
        </w:tc>
        <w:tc>
          <w:tcPr>
            <w:tcW w:w="960" w:type="dxa"/>
            <w:tcBorders>
              <w:top w:val="nil"/>
              <w:left w:val="nil"/>
              <w:bottom w:val="single" w:sz="8" w:space="0" w:color="auto"/>
              <w:right w:val="single" w:sz="4" w:space="0" w:color="auto"/>
            </w:tcBorders>
            <w:shd w:val="clear" w:color="auto" w:fill="auto"/>
            <w:vAlign w:val="bottom"/>
            <w:hideMark/>
          </w:tcPr>
          <w:p w14:paraId="1171C974" w:rsidR="009E6BB4" w:rsidRPr="00DE3B69" w:rsidRDefault="009E6BB4" w:rsidP="00191697">
            <w:pPr>
              <w:spacing w:after="0" w:line="240" w:lineRule="auto"/>
              <w:jc w:val="center"/>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Vendome</w:t>
            </w:r>
          </w:p>
        </w:tc>
        <w:tc>
          <w:tcPr>
            <w:tcW w:w="960" w:type="dxa"/>
            <w:vMerge/>
            <w:tcBorders>
              <w:top w:val="single" w:sz="8" w:space="0" w:color="auto"/>
              <w:left w:val="single" w:sz="4" w:space="0" w:color="auto"/>
              <w:bottom w:val="single" w:sz="8" w:space="0" w:color="000000"/>
              <w:right w:val="single" w:sz="8" w:space="0" w:color="auto"/>
            </w:tcBorders>
            <w:vAlign w:val="center"/>
            <w:hideMark/>
          </w:tcPr>
          <w:p w14:paraId="483852CC" w:rsidR="009E6BB4" w:rsidRPr="00DE3B69" w:rsidRDefault="009E6BB4" w:rsidP="00191697">
            <w:pPr>
              <w:spacing w:after="0" w:line="240" w:lineRule="auto"/>
              <w:rPr>
                <w:rFonts w:ascii="Times New Roman" w:eastAsia="Times New Roman" w:hAnsi="Times New Roman" w:cs="Times New Roman"/>
                <w:color w:val="000000"/>
                <w:sz w:val="18"/>
                <w:szCs w:val="18"/>
              </w:rPr>
            </w:pPr>
          </w:p>
        </w:tc>
      </w:tr>
      <w:tr w14:paraId="6E37B52E"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1C5090AA"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&lt;200</w:t>
            </w:r>
          </w:p>
        </w:tc>
        <w:tc>
          <w:tcPr>
            <w:tcW w:w="1320" w:type="dxa"/>
            <w:tcBorders>
              <w:top w:val="nil"/>
              <w:left w:val="nil"/>
              <w:bottom w:val="single" w:sz="4" w:space="0" w:color="auto"/>
              <w:right w:val="single" w:sz="4" w:space="0" w:color="auto"/>
            </w:tcBorders>
            <w:shd w:val="clear" w:color="auto" w:fill="auto"/>
            <w:noWrap/>
            <w:hideMark/>
          </w:tcPr>
          <w:p w14:paraId="1ABA698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w:t>
            </w:r>
          </w:p>
        </w:tc>
        <w:tc>
          <w:tcPr>
            <w:tcW w:w="1360" w:type="dxa"/>
            <w:tcBorders>
              <w:top w:val="nil"/>
              <w:left w:val="nil"/>
              <w:bottom w:val="single" w:sz="4" w:space="0" w:color="auto"/>
              <w:right w:val="single" w:sz="4" w:space="0" w:color="auto"/>
            </w:tcBorders>
            <w:shd w:val="clear" w:color="auto" w:fill="auto"/>
            <w:noWrap/>
            <w:hideMark/>
          </w:tcPr>
          <w:p w14:paraId="6AC3D8EB"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w:t>
            </w:r>
          </w:p>
        </w:tc>
        <w:tc>
          <w:tcPr>
            <w:tcW w:w="1190" w:type="dxa"/>
            <w:tcBorders>
              <w:top w:val="nil"/>
              <w:left w:val="nil"/>
              <w:bottom w:val="single" w:sz="4" w:space="0" w:color="auto"/>
              <w:right w:val="single" w:sz="4" w:space="0" w:color="auto"/>
            </w:tcBorders>
            <w:shd w:val="clear" w:color="auto" w:fill="auto"/>
            <w:noWrap/>
            <w:hideMark/>
          </w:tcPr>
          <w:p w14:paraId="493A65A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996" w:type="dxa"/>
            <w:tcBorders>
              <w:top w:val="nil"/>
              <w:left w:val="nil"/>
              <w:bottom w:val="single" w:sz="4" w:space="0" w:color="auto"/>
              <w:right w:val="single" w:sz="4" w:space="0" w:color="auto"/>
            </w:tcBorders>
            <w:shd w:val="clear" w:color="auto" w:fill="auto"/>
            <w:noWrap/>
            <w:hideMark/>
          </w:tcPr>
          <w:p w14:paraId="0AD15615"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hideMark/>
          </w:tcPr>
          <w:p w14:paraId="26236FA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w:t>
            </w:r>
          </w:p>
        </w:tc>
        <w:tc>
          <w:tcPr>
            <w:tcW w:w="960" w:type="dxa"/>
            <w:tcBorders>
              <w:top w:val="nil"/>
              <w:left w:val="nil"/>
              <w:bottom w:val="single" w:sz="4" w:space="0" w:color="auto"/>
              <w:right w:val="single" w:sz="4" w:space="0" w:color="auto"/>
            </w:tcBorders>
            <w:shd w:val="clear" w:color="auto" w:fill="auto"/>
            <w:noWrap/>
            <w:hideMark/>
          </w:tcPr>
          <w:p w14:paraId="1CDA3B26"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960" w:type="dxa"/>
            <w:tcBorders>
              <w:top w:val="nil"/>
              <w:left w:val="nil"/>
              <w:bottom w:val="single" w:sz="4" w:space="0" w:color="auto"/>
              <w:right w:val="single" w:sz="8" w:space="0" w:color="auto"/>
            </w:tcBorders>
            <w:shd w:val="clear" w:color="auto" w:fill="auto"/>
            <w:noWrap/>
            <w:hideMark/>
          </w:tcPr>
          <w:p w14:paraId="79944518"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7</w:t>
            </w:r>
          </w:p>
        </w:tc>
      </w:tr>
      <w:tr w14:paraId="6A0AB58D"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551906CA"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200-399</w:t>
            </w:r>
          </w:p>
        </w:tc>
        <w:tc>
          <w:tcPr>
            <w:tcW w:w="1320" w:type="dxa"/>
            <w:tcBorders>
              <w:top w:val="nil"/>
              <w:left w:val="nil"/>
              <w:bottom w:val="single" w:sz="4" w:space="0" w:color="auto"/>
              <w:right w:val="single" w:sz="4" w:space="0" w:color="auto"/>
            </w:tcBorders>
            <w:shd w:val="clear" w:color="auto" w:fill="auto"/>
            <w:noWrap/>
            <w:hideMark/>
          </w:tcPr>
          <w:p w14:paraId="4BC67B18"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w:t>
            </w:r>
          </w:p>
        </w:tc>
        <w:tc>
          <w:tcPr>
            <w:tcW w:w="1360" w:type="dxa"/>
            <w:tcBorders>
              <w:top w:val="nil"/>
              <w:left w:val="nil"/>
              <w:bottom w:val="single" w:sz="4" w:space="0" w:color="auto"/>
              <w:right w:val="single" w:sz="4" w:space="0" w:color="auto"/>
            </w:tcBorders>
            <w:shd w:val="clear" w:color="auto" w:fill="auto"/>
            <w:noWrap/>
            <w:hideMark/>
          </w:tcPr>
          <w:p w14:paraId="0DF234C1"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w:t>
            </w:r>
          </w:p>
        </w:tc>
        <w:tc>
          <w:tcPr>
            <w:tcW w:w="1190" w:type="dxa"/>
            <w:tcBorders>
              <w:top w:val="nil"/>
              <w:left w:val="nil"/>
              <w:bottom w:val="single" w:sz="4" w:space="0" w:color="auto"/>
              <w:right w:val="single" w:sz="4" w:space="0" w:color="auto"/>
            </w:tcBorders>
            <w:shd w:val="clear" w:color="auto" w:fill="auto"/>
            <w:noWrap/>
            <w:hideMark/>
          </w:tcPr>
          <w:p w14:paraId="4B0568CC"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996" w:type="dxa"/>
            <w:tcBorders>
              <w:top w:val="nil"/>
              <w:left w:val="nil"/>
              <w:bottom w:val="single" w:sz="4" w:space="0" w:color="auto"/>
              <w:right w:val="single" w:sz="4" w:space="0" w:color="auto"/>
            </w:tcBorders>
            <w:shd w:val="clear" w:color="auto" w:fill="auto"/>
            <w:noWrap/>
            <w:hideMark/>
          </w:tcPr>
          <w:p w14:paraId="35C7D19C"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w:t>
            </w:r>
          </w:p>
        </w:tc>
        <w:tc>
          <w:tcPr>
            <w:tcW w:w="1300" w:type="dxa"/>
            <w:tcBorders>
              <w:top w:val="nil"/>
              <w:left w:val="nil"/>
              <w:bottom w:val="single" w:sz="4" w:space="0" w:color="auto"/>
              <w:right w:val="single" w:sz="4" w:space="0" w:color="auto"/>
            </w:tcBorders>
            <w:shd w:val="clear" w:color="auto" w:fill="auto"/>
            <w:noWrap/>
            <w:hideMark/>
          </w:tcPr>
          <w:p w14:paraId="683E793C"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23</w:t>
            </w:r>
          </w:p>
        </w:tc>
        <w:tc>
          <w:tcPr>
            <w:tcW w:w="960" w:type="dxa"/>
            <w:tcBorders>
              <w:top w:val="nil"/>
              <w:left w:val="nil"/>
              <w:bottom w:val="single" w:sz="4" w:space="0" w:color="auto"/>
              <w:right w:val="single" w:sz="4" w:space="0" w:color="auto"/>
            </w:tcBorders>
            <w:shd w:val="clear" w:color="auto" w:fill="auto"/>
            <w:noWrap/>
            <w:hideMark/>
          </w:tcPr>
          <w:p w14:paraId="4D2A280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w:t>
            </w:r>
          </w:p>
        </w:tc>
        <w:tc>
          <w:tcPr>
            <w:tcW w:w="960" w:type="dxa"/>
            <w:tcBorders>
              <w:top w:val="nil"/>
              <w:left w:val="nil"/>
              <w:bottom w:val="single" w:sz="4" w:space="0" w:color="auto"/>
              <w:right w:val="single" w:sz="8" w:space="0" w:color="auto"/>
            </w:tcBorders>
            <w:shd w:val="clear" w:color="auto" w:fill="auto"/>
            <w:noWrap/>
            <w:hideMark/>
          </w:tcPr>
          <w:p w14:paraId="637B2029"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35</w:t>
            </w:r>
          </w:p>
        </w:tc>
      </w:tr>
      <w:tr w14:paraId="10B4709E"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0C70613D"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400-799</w:t>
            </w:r>
          </w:p>
        </w:tc>
        <w:tc>
          <w:tcPr>
            <w:tcW w:w="1320" w:type="dxa"/>
            <w:tcBorders>
              <w:top w:val="nil"/>
              <w:left w:val="nil"/>
              <w:bottom w:val="single" w:sz="4" w:space="0" w:color="auto"/>
              <w:right w:val="single" w:sz="4" w:space="0" w:color="auto"/>
            </w:tcBorders>
            <w:shd w:val="clear" w:color="auto" w:fill="auto"/>
            <w:noWrap/>
            <w:hideMark/>
          </w:tcPr>
          <w:p w14:paraId="21915B52"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24</w:t>
            </w:r>
          </w:p>
        </w:tc>
        <w:tc>
          <w:tcPr>
            <w:tcW w:w="1360" w:type="dxa"/>
            <w:tcBorders>
              <w:top w:val="nil"/>
              <w:left w:val="nil"/>
              <w:bottom w:val="single" w:sz="4" w:space="0" w:color="auto"/>
              <w:right w:val="single" w:sz="4" w:space="0" w:color="auto"/>
            </w:tcBorders>
            <w:shd w:val="clear" w:color="auto" w:fill="auto"/>
            <w:noWrap/>
            <w:hideMark/>
          </w:tcPr>
          <w:p w14:paraId="72F0CDA4"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27</w:t>
            </w:r>
          </w:p>
        </w:tc>
        <w:tc>
          <w:tcPr>
            <w:tcW w:w="1190" w:type="dxa"/>
            <w:tcBorders>
              <w:top w:val="nil"/>
              <w:left w:val="nil"/>
              <w:bottom w:val="single" w:sz="4" w:space="0" w:color="auto"/>
              <w:right w:val="single" w:sz="4" w:space="0" w:color="auto"/>
            </w:tcBorders>
            <w:shd w:val="clear" w:color="auto" w:fill="auto"/>
            <w:noWrap/>
            <w:hideMark/>
          </w:tcPr>
          <w:p w14:paraId="6AC4B3B6"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w:t>
            </w:r>
          </w:p>
        </w:tc>
        <w:tc>
          <w:tcPr>
            <w:tcW w:w="996" w:type="dxa"/>
            <w:tcBorders>
              <w:top w:val="nil"/>
              <w:left w:val="nil"/>
              <w:bottom w:val="single" w:sz="4" w:space="0" w:color="auto"/>
              <w:right w:val="single" w:sz="4" w:space="0" w:color="auto"/>
            </w:tcBorders>
            <w:shd w:val="clear" w:color="auto" w:fill="auto"/>
            <w:noWrap/>
            <w:hideMark/>
          </w:tcPr>
          <w:p w14:paraId="3C750D9D"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hideMark/>
          </w:tcPr>
          <w:p w14:paraId="35DE0D4D"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50</w:t>
            </w:r>
          </w:p>
        </w:tc>
        <w:tc>
          <w:tcPr>
            <w:tcW w:w="960" w:type="dxa"/>
            <w:tcBorders>
              <w:top w:val="nil"/>
              <w:left w:val="nil"/>
              <w:bottom w:val="single" w:sz="4" w:space="0" w:color="auto"/>
              <w:right w:val="single" w:sz="4" w:space="0" w:color="auto"/>
            </w:tcBorders>
            <w:shd w:val="clear" w:color="auto" w:fill="auto"/>
            <w:noWrap/>
            <w:hideMark/>
          </w:tcPr>
          <w:p w14:paraId="07DF889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34</w:t>
            </w:r>
          </w:p>
        </w:tc>
        <w:tc>
          <w:tcPr>
            <w:tcW w:w="960" w:type="dxa"/>
            <w:tcBorders>
              <w:top w:val="nil"/>
              <w:left w:val="nil"/>
              <w:bottom w:val="single" w:sz="4" w:space="0" w:color="auto"/>
              <w:right w:val="single" w:sz="8" w:space="0" w:color="auto"/>
            </w:tcBorders>
            <w:shd w:val="clear" w:color="auto" w:fill="auto"/>
            <w:noWrap/>
            <w:hideMark/>
          </w:tcPr>
          <w:p w14:paraId="456895CE"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150</w:t>
            </w:r>
          </w:p>
        </w:tc>
      </w:tr>
      <w:tr w14:paraId="1C2B19D0"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20E76516"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800-1,199</w:t>
            </w:r>
          </w:p>
        </w:tc>
        <w:tc>
          <w:tcPr>
            <w:tcW w:w="1320" w:type="dxa"/>
            <w:tcBorders>
              <w:top w:val="nil"/>
              <w:left w:val="nil"/>
              <w:bottom w:val="single" w:sz="4" w:space="0" w:color="auto"/>
              <w:right w:val="single" w:sz="4" w:space="0" w:color="auto"/>
            </w:tcBorders>
            <w:shd w:val="clear" w:color="auto" w:fill="auto"/>
            <w:noWrap/>
            <w:hideMark/>
          </w:tcPr>
          <w:p w14:paraId="0FF67C5C"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23</w:t>
            </w:r>
          </w:p>
        </w:tc>
        <w:tc>
          <w:tcPr>
            <w:tcW w:w="1360" w:type="dxa"/>
            <w:tcBorders>
              <w:top w:val="nil"/>
              <w:left w:val="nil"/>
              <w:bottom w:val="single" w:sz="4" w:space="0" w:color="auto"/>
              <w:right w:val="single" w:sz="4" w:space="0" w:color="auto"/>
            </w:tcBorders>
            <w:shd w:val="clear" w:color="auto" w:fill="auto"/>
            <w:noWrap/>
            <w:hideMark/>
          </w:tcPr>
          <w:p w14:paraId="0DB048B5"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31</w:t>
            </w:r>
          </w:p>
        </w:tc>
        <w:tc>
          <w:tcPr>
            <w:tcW w:w="1190" w:type="dxa"/>
            <w:tcBorders>
              <w:top w:val="nil"/>
              <w:left w:val="nil"/>
              <w:bottom w:val="single" w:sz="4" w:space="0" w:color="auto"/>
              <w:right w:val="single" w:sz="4" w:space="0" w:color="auto"/>
            </w:tcBorders>
            <w:shd w:val="clear" w:color="auto" w:fill="auto"/>
            <w:noWrap/>
            <w:hideMark/>
          </w:tcPr>
          <w:p w14:paraId="2E6001DD"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13</w:t>
            </w:r>
          </w:p>
        </w:tc>
        <w:tc>
          <w:tcPr>
            <w:tcW w:w="996" w:type="dxa"/>
            <w:tcBorders>
              <w:top w:val="nil"/>
              <w:left w:val="nil"/>
              <w:bottom w:val="single" w:sz="4" w:space="0" w:color="auto"/>
              <w:right w:val="single" w:sz="4" w:space="0" w:color="auto"/>
            </w:tcBorders>
            <w:shd w:val="clear" w:color="auto" w:fill="auto"/>
            <w:noWrap/>
            <w:hideMark/>
          </w:tcPr>
          <w:p w14:paraId="04C618B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22</w:t>
            </w:r>
          </w:p>
        </w:tc>
        <w:tc>
          <w:tcPr>
            <w:tcW w:w="1300" w:type="dxa"/>
            <w:tcBorders>
              <w:top w:val="nil"/>
              <w:left w:val="nil"/>
              <w:bottom w:val="single" w:sz="4" w:space="0" w:color="auto"/>
              <w:right w:val="single" w:sz="4" w:space="0" w:color="auto"/>
            </w:tcBorders>
            <w:shd w:val="clear" w:color="auto" w:fill="auto"/>
            <w:noWrap/>
            <w:hideMark/>
          </w:tcPr>
          <w:p w14:paraId="1768FA35"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62</w:t>
            </w:r>
          </w:p>
        </w:tc>
        <w:tc>
          <w:tcPr>
            <w:tcW w:w="960" w:type="dxa"/>
            <w:tcBorders>
              <w:top w:val="nil"/>
              <w:left w:val="nil"/>
              <w:bottom w:val="single" w:sz="4" w:space="0" w:color="auto"/>
              <w:right w:val="single" w:sz="4" w:space="0" w:color="auto"/>
            </w:tcBorders>
            <w:shd w:val="clear" w:color="auto" w:fill="auto"/>
            <w:noWrap/>
            <w:hideMark/>
          </w:tcPr>
          <w:p w14:paraId="58A6105F"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35</w:t>
            </w:r>
          </w:p>
        </w:tc>
        <w:tc>
          <w:tcPr>
            <w:tcW w:w="960" w:type="dxa"/>
            <w:tcBorders>
              <w:top w:val="nil"/>
              <w:left w:val="nil"/>
              <w:bottom w:val="single" w:sz="4" w:space="0" w:color="auto"/>
              <w:right w:val="single" w:sz="8" w:space="0" w:color="auto"/>
            </w:tcBorders>
            <w:shd w:val="clear" w:color="auto" w:fill="auto"/>
            <w:noWrap/>
            <w:hideMark/>
          </w:tcPr>
          <w:p w14:paraId="6FAB8789"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186</w:t>
            </w:r>
          </w:p>
        </w:tc>
      </w:tr>
      <w:tr w14:paraId="63944A45"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5E9D998A"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1,200-1,1999</w:t>
            </w:r>
          </w:p>
        </w:tc>
        <w:tc>
          <w:tcPr>
            <w:tcW w:w="1320" w:type="dxa"/>
            <w:tcBorders>
              <w:top w:val="nil"/>
              <w:left w:val="nil"/>
              <w:bottom w:val="single" w:sz="4" w:space="0" w:color="auto"/>
              <w:right w:val="single" w:sz="4" w:space="0" w:color="auto"/>
            </w:tcBorders>
            <w:shd w:val="clear" w:color="auto" w:fill="auto"/>
            <w:noWrap/>
            <w:hideMark/>
          </w:tcPr>
          <w:p w14:paraId="5F1F4D5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47</w:t>
            </w:r>
          </w:p>
        </w:tc>
        <w:tc>
          <w:tcPr>
            <w:tcW w:w="1360" w:type="dxa"/>
            <w:tcBorders>
              <w:top w:val="nil"/>
              <w:left w:val="nil"/>
              <w:bottom w:val="single" w:sz="4" w:space="0" w:color="auto"/>
              <w:right w:val="single" w:sz="4" w:space="0" w:color="auto"/>
            </w:tcBorders>
            <w:shd w:val="clear" w:color="auto" w:fill="auto"/>
            <w:noWrap/>
            <w:hideMark/>
          </w:tcPr>
          <w:p w14:paraId="588D4AFB"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36</w:t>
            </w:r>
          </w:p>
        </w:tc>
        <w:tc>
          <w:tcPr>
            <w:tcW w:w="1190" w:type="dxa"/>
            <w:tcBorders>
              <w:top w:val="nil"/>
              <w:left w:val="nil"/>
              <w:bottom w:val="single" w:sz="4" w:space="0" w:color="auto"/>
              <w:right w:val="single" w:sz="4" w:space="0" w:color="auto"/>
            </w:tcBorders>
            <w:shd w:val="clear" w:color="auto" w:fill="auto"/>
            <w:noWrap/>
            <w:hideMark/>
          </w:tcPr>
          <w:p w14:paraId="0FFCEB38"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9</w:t>
            </w:r>
          </w:p>
        </w:tc>
        <w:tc>
          <w:tcPr>
            <w:tcW w:w="996" w:type="dxa"/>
            <w:tcBorders>
              <w:top w:val="nil"/>
              <w:left w:val="nil"/>
              <w:bottom w:val="single" w:sz="4" w:space="0" w:color="auto"/>
              <w:right w:val="single" w:sz="4" w:space="0" w:color="auto"/>
            </w:tcBorders>
            <w:shd w:val="clear" w:color="auto" w:fill="auto"/>
            <w:noWrap/>
            <w:hideMark/>
          </w:tcPr>
          <w:p w14:paraId="324A8A61"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hideMark/>
          </w:tcPr>
          <w:p w14:paraId="6DE68C20"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53</w:t>
            </w:r>
          </w:p>
        </w:tc>
        <w:tc>
          <w:tcPr>
            <w:tcW w:w="960" w:type="dxa"/>
            <w:tcBorders>
              <w:top w:val="nil"/>
              <w:left w:val="nil"/>
              <w:bottom w:val="single" w:sz="4" w:space="0" w:color="auto"/>
              <w:right w:val="single" w:sz="4" w:space="0" w:color="auto"/>
            </w:tcBorders>
            <w:shd w:val="clear" w:color="auto" w:fill="auto"/>
            <w:noWrap/>
            <w:hideMark/>
          </w:tcPr>
          <w:p w14:paraId="2ACB5E59"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39</w:t>
            </w:r>
          </w:p>
        </w:tc>
        <w:tc>
          <w:tcPr>
            <w:tcW w:w="960" w:type="dxa"/>
            <w:tcBorders>
              <w:top w:val="nil"/>
              <w:left w:val="nil"/>
              <w:bottom w:val="single" w:sz="4" w:space="0" w:color="auto"/>
              <w:right w:val="single" w:sz="8" w:space="0" w:color="auto"/>
            </w:tcBorders>
            <w:shd w:val="clear" w:color="auto" w:fill="auto"/>
            <w:noWrap/>
            <w:hideMark/>
          </w:tcPr>
          <w:p w14:paraId="6C837B4B"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194</w:t>
            </w:r>
          </w:p>
        </w:tc>
      </w:tr>
      <w:tr w14:paraId="27CB3603"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3763EC86"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2,000-3,999</w:t>
            </w:r>
          </w:p>
        </w:tc>
        <w:tc>
          <w:tcPr>
            <w:tcW w:w="1320" w:type="dxa"/>
            <w:tcBorders>
              <w:top w:val="nil"/>
              <w:left w:val="nil"/>
              <w:bottom w:val="single" w:sz="4" w:space="0" w:color="auto"/>
              <w:right w:val="single" w:sz="4" w:space="0" w:color="auto"/>
            </w:tcBorders>
            <w:shd w:val="clear" w:color="auto" w:fill="auto"/>
            <w:noWrap/>
            <w:hideMark/>
          </w:tcPr>
          <w:p w14:paraId="17E1437B"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31</w:t>
            </w:r>
          </w:p>
        </w:tc>
        <w:tc>
          <w:tcPr>
            <w:tcW w:w="1360" w:type="dxa"/>
            <w:tcBorders>
              <w:top w:val="nil"/>
              <w:left w:val="nil"/>
              <w:bottom w:val="single" w:sz="4" w:space="0" w:color="auto"/>
              <w:right w:val="single" w:sz="4" w:space="0" w:color="auto"/>
            </w:tcBorders>
            <w:shd w:val="clear" w:color="auto" w:fill="auto"/>
            <w:noWrap/>
            <w:hideMark/>
          </w:tcPr>
          <w:p w14:paraId="7C278A63"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22</w:t>
            </w:r>
          </w:p>
        </w:tc>
        <w:tc>
          <w:tcPr>
            <w:tcW w:w="1190" w:type="dxa"/>
            <w:tcBorders>
              <w:top w:val="nil"/>
              <w:left w:val="nil"/>
              <w:bottom w:val="single" w:sz="4" w:space="0" w:color="auto"/>
              <w:right w:val="single" w:sz="4" w:space="0" w:color="auto"/>
            </w:tcBorders>
            <w:shd w:val="clear" w:color="auto" w:fill="auto"/>
            <w:noWrap/>
            <w:hideMark/>
          </w:tcPr>
          <w:p w14:paraId="44AED130"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10</w:t>
            </w:r>
          </w:p>
        </w:tc>
        <w:tc>
          <w:tcPr>
            <w:tcW w:w="996" w:type="dxa"/>
            <w:tcBorders>
              <w:top w:val="nil"/>
              <w:left w:val="nil"/>
              <w:bottom w:val="single" w:sz="4" w:space="0" w:color="auto"/>
              <w:right w:val="single" w:sz="4" w:space="0" w:color="auto"/>
            </w:tcBorders>
            <w:shd w:val="clear" w:color="auto" w:fill="auto"/>
            <w:noWrap/>
            <w:hideMark/>
          </w:tcPr>
          <w:p w14:paraId="614A3668"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9</w:t>
            </w:r>
          </w:p>
        </w:tc>
        <w:tc>
          <w:tcPr>
            <w:tcW w:w="1300" w:type="dxa"/>
            <w:tcBorders>
              <w:top w:val="nil"/>
              <w:left w:val="nil"/>
              <w:bottom w:val="single" w:sz="4" w:space="0" w:color="auto"/>
              <w:right w:val="single" w:sz="4" w:space="0" w:color="auto"/>
            </w:tcBorders>
            <w:shd w:val="clear" w:color="auto" w:fill="auto"/>
            <w:noWrap/>
            <w:hideMark/>
          </w:tcPr>
          <w:p w14:paraId="0E88FBE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35</w:t>
            </w:r>
          </w:p>
        </w:tc>
        <w:tc>
          <w:tcPr>
            <w:tcW w:w="960" w:type="dxa"/>
            <w:tcBorders>
              <w:top w:val="nil"/>
              <w:left w:val="nil"/>
              <w:bottom w:val="single" w:sz="4" w:space="0" w:color="auto"/>
              <w:right w:val="single" w:sz="4" w:space="0" w:color="auto"/>
            </w:tcBorders>
            <w:shd w:val="clear" w:color="auto" w:fill="auto"/>
            <w:noWrap/>
            <w:hideMark/>
          </w:tcPr>
          <w:p w14:paraId="5CE9AD3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44</w:t>
            </w:r>
          </w:p>
        </w:tc>
        <w:tc>
          <w:tcPr>
            <w:tcW w:w="960" w:type="dxa"/>
            <w:tcBorders>
              <w:top w:val="nil"/>
              <w:left w:val="nil"/>
              <w:bottom w:val="single" w:sz="4" w:space="0" w:color="auto"/>
              <w:right w:val="single" w:sz="8" w:space="0" w:color="auto"/>
            </w:tcBorders>
            <w:shd w:val="clear" w:color="auto" w:fill="auto"/>
            <w:noWrap/>
            <w:hideMark/>
          </w:tcPr>
          <w:p w14:paraId="0501683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151</w:t>
            </w:r>
          </w:p>
        </w:tc>
      </w:tr>
      <w:tr w14:paraId="26A6F77A"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7B46E789"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4,000-5,999</w:t>
            </w:r>
          </w:p>
        </w:tc>
        <w:tc>
          <w:tcPr>
            <w:tcW w:w="1320" w:type="dxa"/>
            <w:tcBorders>
              <w:top w:val="nil"/>
              <w:left w:val="nil"/>
              <w:bottom w:val="single" w:sz="4" w:space="0" w:color="auto"/>
              <w:right w:val="single" w:sz="4" w:space="0" w:color="auto"/>
            </w:tcBorders>
            <w:shd w:val="clear" w:color="auto" w:fill="auto"/>
            <w:noWrap/>
            <w:hideMark/>
          </w:tcPr>
          <w:p w14:paraId="318BDCF3"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w:t>
            </w:r>
          </w:p>
        </w:tc>
        <w:tc>
          <w:tcPr>
            <w:tcW w:w="1360" w:type="dxa"/>
            <w:tcBorders>
              <w:top w:val="nil"/>
              <w:left w:val="nil"/>
              <w:bottom w:val="single" w:sz="4" w:space="0" w:color="auto"/>
              <w:right w:val="single" w:sz="4" w:space="0" w:color="auto"/>
            </w:tcBorders>
            <w:shd w:val="clear" w:color="auto" w:fill="auto"/>
            <w:noWrap/>
            <w:hideMark/>
          </w:tcPr>
          <w:p w14:paraId="5E455BE9"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7</w:t>
            </w:r>
          </w:p>
        </w:tc>
        <w:tc>
          <w:tcPr>
            <w:tcW w:w="1190" w:type="dxa"/>
            <w:tcBorders>
              <w:top w:val="nil"/>
              <w:left w:val="nil"/>
              <w:bottom w:val="single" w:sz="4" w:space="0" w:color="auto"/>
              <w:right w:val="single" w:sz="4" w:space="0" w:color="auto"/>
            </w:tcBorders>
            <w:shd w:val="clear" w:color="auto" w:fill="auto"/>
            <w:noWrap/>
            <w:hideMark/>
          </w:tcPr>
          <w:p w14:paraId="34E5CB9E"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w:t>
            </w:r>
          </w:p>
        </w:tc>
        <w:tc>
          <w:tcPr>
            <w:tcW w:w="996" w:type="dxa"/>
            <w:tcBorders>
              <w:top w:val="nil"/>
              <w:left w:val="nil"/>
              <w:bottom w:val="single" w:sz="4" w:space="0" w:color="auto"/>
              <w:right w:val="single" w:sz="4" w:space="0" w:color="auto"/>
            </w:tcBorders>
            <w:shd w:val="clear" w:color="auto" w:fill="auto"/>
            <w:noWrap/>
            <w:hideMark/>
          </w:tcPr>
          <w:p w14:paraId="415ADD10"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w:t>
            </w:r>
          </w:p>
        </w:tc>
        <w:tc>
          <w:tcPr>
            <w:tcW w:w="1300" w:type="dxa"/>
            <w:tcBorders>
              <w:top w:val="nil"/>
              <w:left w:val="nil"/>
              <w:bottom w:val="single" w:sz="4" w:space="0" w:color="auto"/>
              <w:right w:val="single" w:sz="4" w:space="0" w:color="auto"/>
            </w:tcBorders>
            <w:shd w:val="clear" w:color="auto" w:fill="auto"/>
            <w:noWrap/>
            <w:hideMark/>
          </w:tcPr>
          <w:p w14:paraId="4568C046"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7</w:t>
            </w:r>
          </w:p>
        </w:tc>
        <w:tc>
          <w:tcPr>
            <w:tcW w:w="960" w:type="dxa"/>
            <w:tcBorders>
              <w:top w:val="nil"/>
              <w:left w:val="nil"/>
              <w:bottom w:val="single" w:sz="4" w:space="0" w:color="auto"/>
              <w:right w:val="single" w:sz="4" w:space="0" w:color="auto"/>
            </w:tcBorders>
            <w:shd w:val="clear" w:color="auto" w:fill="auto"/>
            <w:noWrap/>
            <w:hideMark/>
          </w:tcPr>
          <w:p w14:paraId="09F855D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w:t>
            </w:r>
          </w:p>
        </w:tc>
        <w:tc>
          <w:tcPr>
            <w:tcW w:w="960" w:type="dxa"/>
            <w:tcBorders>
              <w:top w:val="nil"/>
              <w:left w:val="nil"/>
              <w:bottom w:val="single" w:sz="4" w:space="0" w:color="auto"/>
              <w:right w:val="single" w:sz="8" w:space="0" w:color="auto"/>
            </w:tcBorders>
            <w:shd w:val="clear" w:color="auto" w:fill="auto"/>
            <w:noWrap/>
            <w:hideMark/>
          </w:tcPr>
          <w:p w14:paraId="7BF2D60F"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29</w:t>
            </w:r>
          </w:p>
        </w:tc>
      </w:tr>
      <w:tr w14:paraId="699DC8BC" w:rsidR="009E6BB4" w:rsidRPr="00DE3B69" w:rsidTr="00191697">
        <w:trPr>
          <w:trHeight w:val="300"/>
        </w:trPr>
        <w:tc>
          <w:tcPr>
            <w:tcW w:w="1275" w:type="dxa"/>
            <w:tcBorders>
              <w:top w:val="nil"/>
              <w:left w:val="single" w:sz="8" w:space="0" w:color="auto"/>
              <w:bottom w:val="single" w:sz="4" w:space="0" w:color="auto"/>
              <w:right w:val="single" w:sz="4" w:space="0" w:color="auto"/>
            </w:tcBorders>
            <w:shd w:val="clear" w:color="auto" w:fill="auto"/>
            <w:hideMark/>
          </w:tcPr>
          <w:p w14:paraId="5C5A6CD8"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6,000+</w:t>
            </w:r>
          </w:p>
        </w:tc>
        <w:tc>
          <w:tcPr>
            <w:tcW w:w="1320" w:type="dxa"/>
            <w:tcBorders>
              <w:top w:val="nil"/>
              <w:left w:val="nil"/>
              <w:bottom w:val="single" w:sz="4" w:space="0" w:color="auto"/>
              <w:right w:val="single" w:sz="4" w:space="0" w:color="auto"/>
            </w:tcBorders>
            <w:shd w:val="clear" w:color="auto" w:fill="auto"/>
            <w:noWrap/>
            <w:hideMark/>
          </w:tcPr>
          <w:p w14:paraId="26B904ED"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w:t>
            </w:r>
          </w:p>
        </w:tc>
        <w:tc>
          <w:tcPr>
            <w:tcW w:w="1360" w:type="dxa"/>
            <w:tcBorders>
              <w:top w:val="nil"/>
              <w:left w:val="nil"/>
              <w:bottom w:val="single" w:sz="4" w:space="0" w:color="auto"/>
              <w:right w:val="single" w:sz="4" w:space="0" w:color="auto"/>
            </w:tcBorders>
            <w:shd w:val="clear" w:color="auto" w:fill="auto"/>
            <w:noWrap/>
            <w:hideMark/>
          </w:tcPr>
          <w:p w14:paraId="4700625E"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2</w:t>
            </w:r>
          </w:p>
        </w:tc>
        <w:tc>
          <w:tcPr>
            <w:tcW w:w="1190" w:type="dxa"/>
            <w:tcBorders>
              <w:top w:val="nil"/>
              <w:left w:val="nil"/>
              <w:bottom w:val="single" w:sz="4" w:space="0" w:color="auto"/>
              <w:right w:val="single" w:sz="4" w:space="0" w:color="auto"/>
            </w:tcBorders>
            <w:shd w:val="clear" w:color="auto" w:fill="auto"/>
            <w:noWrap/>
            <w:hideMark/>
          </w:tcPr>
          <w:p w14:paraId="76893A8B"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996" w:type="dxa"/>
            <w:tcBorders>
              <w:top w:val="nil"/>
              <w:left w:val="nil"/>
              <w:bottom w:val="single" w:sz="4" w:space="0" w:color="auto"/>
              <w:right w:val="single" w:sz="4" w:space="0" w:color="auto"/>
            </w:tcBorders>
            <w:shd w:val="clear" w:color="auto" w:fill="auto"/>
            <w:noWrap/>
            <w:hideMark/>
          </w:tcPr>
          <w:p w14:paraId="725F586C"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w:t>
            </w:r>
          </w:p>
        </w:tc>
        <w:tc>
          <w:tcPr>
            <w:tcW w:w="1300" w:type="dxa"/>
            <w:tcBorders>
              <w:top w:val="nil"/>
              <w:left w:val="nil"/>
              <w:bottom w:val="single" w:sz="4" w:space="0" w:color="auto"/>
              <w:right w:val="single" w:sz="4" w:space="0" w:color="auto"/>
            </w:tcBorders>
            <w:shd w:val="clear" w:color="auto" w:fill="auto"/>
            <w:noWrap/>
            <w:hideMark/>
          </w:tcPr>
          <w:p w14:paraId="461C4A12"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hideMark/>
          </w:tcPr>
          <w:p w14:paraId="04AA2EF7"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0</w:t>
            </w:r>
          </w:p>
        </w:tc>
        <w:tc>
          <w:tcPr>
            <w:tcW w:w="960" w:type="dxa"/>
            <w:tcBorders>
              <w:top w:val="nil"/>
              <w:left w:val="nil"/>
              <w:bottom w:val="single" w:sz="4" w:space="0" w:color="auto"/>
              <w:right w:val="single" w:sz="8" w:space="0" w:color="auto"/>
            </w:tcBorders>
            <w:shd w:val="clear" w:color="auto" w:fill="auto"/>
            <w:noWrap/>
            <w:hideMark/>
          </w:tcPr>
          <w:p w14:paraId="6E8C8E7F"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6</w:t>
            </w:r>
          </w:p>
        </w:tc>
      </w:tr>
      <w:tr w14:paraId="045BD2D2" w:rsidR="009E6BB4" w:rsidRPr="00DE3B69" w:rsidTr="00191697">
        <w:trPr>
          <w:trHeight w:val="300"/>
        </w:trPr>
        <w:tc>
          <w:tcPr>
            <w:tcW w:w="1275" w:type="dxa"/>
            <w:tcBorders>
              <w:top w:val="nil"/>
              <w:left w:val="single" w:sz="8" w:space="0" w:color="auto"/>
              <w:bottom w:val="double" w:sz="6" w:space="0" w:color="auto"/>
              <w:right w:val="single" w:sz="4" w:space="0" w:color="auto"/>
            </w:tcBorders>
            <w:shd w:val="clear" w:color="auto" w:fill="auto"/>
            <w:hideMark/>
          </w:tcPr>
          <w:p w14:paraId="382725A2" w:rsidR="009E6BB4" w:rsidRPr="00DE3B69" w:rsidRDefault="009E6BB4" w:rsidP="00191697">
            <w:pPr>
              <w:spacing w:after="0" w:line="240" w:lineRule="auto"/>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Not Stated</w:t>
            </w:r>
          </w:p>
        </w:tc>
        <w:tc>
          <w:tcPr>
            <w:tcW w:w="1320" w:type="dxa"/>
            <w:tcBorders>
              <w:top w:val="nil"/>
              <w:left w:val="nil"/>
              <w:bottom w:val="double" w:sz="6" w:space="0" w:color="auto"/>
              <w:right w:val="single" w:sz="4" w:space="0" w:color="auto"/>
            </w:tcBorders>
            <w:shd w:val="clear" w:color="auto" w:fill="auto"/>
            <w:noWrap/>
            <w:hideMark/>
          </w:tcPr>
          <w:p w14:paraId="7C737604"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174</w:t>
            </w:r>
          </w:p>
        </w:tc>
        <w:tc>
          <w:tcPr>
            <w:tcW w:w="1360" w:type="dxa"/>
            <w:tcBorders>
              <w:top w:val="nil"/>
              <w:left w:val="nil"/>
              <w:bottom w:val="double" w:sz="6" w:space="0" w:color="auto"/>
              <w:right w:val="single" w:sz="4" w:space="0" w:color="auto"/>
            </w:tcBorders>
            <w:shd w:val="clear" w:color="auto" w:fill="auto"/>
            <w:noWrap/>
            <w:hideMark/>
          </w:tcPr>
          <w:p w14:paraId="6F46D0F0"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69</w:t>
            </w:r>
          </w:p>
        </w:tc>
        <w:tc>
          <w:tcPr>
            <w:tcW w:w="1190" w:type="dxa"/>
            <w:tcBorders>
              <w:top w:val="nil"/>
              <w:left w:val="nil"/>
              <w:bottom w:val="double" w:sz="6" w:space="0" w:color="auto"/>
              <w:right w:val="single" w:sz="4" w:space="0" w:color="auto"/>
            </w:tcBorders>
            <w:shd w:val="clear" w:color="auto" w:fill="auto"/>
            <w:noWrap/>
            <w:hideMark/>
          </w:tcPr>
          <w:p w14:paraId="050A4184"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11</w:t>
            </w:r>
          </w:p>
        </w:tc>
        <w:tc>
          <w:tcPr>
            <w:tcW w:w="996" w:type="dxa"/>
            <w:tcBorders>
              <w:top w:val="nil"/>
              <w:left w:val="nil"/>
              <w:bottom w:val="double" w:sz="6" w:space="0" w:color="auto"/>
              <w:right w:val="single" w:sz="4" w:space="0" w:color="auto"/>
            </w:tcBorders>
            <w:shd w:val="clear" w:color="auto" w:fill="auto"/>
            <w:noWrap/>
            <w:hideMark/>
          </w:tcPr>
          <w:p w14:paraId="3FF9555D"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50</w:t>
            </w:r>
          </w:p>
        </w:tc>
        <w:tc>
          <w:tcPr>
            <w:tcW w:w="1300" w:type="dxa"/>
            <w:tcBorders>
              <w:top w:val="nil"/>
              <w:left w:val="nil"/>
              <w:bottom w:val="double" w:sz="6" w:space="0" w:color="auto"/>
              <w:right w:val="single" w:sz="4" w:space="0" w:color="auto"/>
            </w:tcBorders>
            <w:shd w:val="clear" w:color="auto" w:fill="auto"/>
            <w:noWrap/>
            <w:hideMark/>
          </w:tcPr>
          <w:p w14:paraId="4FF19251"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133</w:t>
            </w:r>
          </w:p>
        </w:tc>
        <w:tc>
          <w:tcPr>
            <w:tcW w:w="960" w:type="dxa"/>
            <w:tcBorders>
              <w:top w:val="nil"/>
              <w:left w:val="nil"/>
              <w:bottom w:val="double" w:sz="6" w:space="0" w:color="auto"/>
              <w:right w:val="single" w:sz="4" w:space="0" w:color="auto"/>
            </w:tcBorders>
            <w:shd w:val="clear" w:color="auto" w:fill="auto"/>
            <w:noWrap/>
            <w:hideMark/>
          </w:tcPr>
          <w:p w14:paraId="0E12D74A"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34</w:t>
            </w:r>
          </w:p>
        </w:tc>
        <w:tc>
          <w:tcPr>
            <w:tcW w:w="960" w:type="dxa"/>
            <w:tcBorders>
              <w:top w:val="nil"/>
              <w:left w:val="nil"/>
              <w:bottom w:val="double" w:sz="6" w:space="0" w:color="auto"/>
              <w:right w:val="single" w:sz="8" w:space="0" w:color="auto"/>
            </w:tcBorders>
            <w:shd w:val="clear" w:color="auto" w:fill="auto"/>
            <w:noWrap/>
            <w:hideMark/>
          </w:tcPr>
          <w:p w14:paraId="507B9C10" w:rsidR="009E6BB4" w:rsidRPr="00DE3B69" w:rsidRDefault="009E6BB4" w:rsidP="00191697">
            <w:pPr>
              <w:spacing w:after="0" w:line="240" w:lineRule="auto"/>
              <w:jc w:val="right"/>
              <w:rPr>
                <w:rFonts w:ascii="Times New Roman" w:eastAsia="Times New Roman" w:hAnsi="Times New Roman" w:cs="Times New Roman"/>
                <w:color w:val="000000"/>
                <w:sz w:val="18"/>
                <w:szCs w:val="18"/>
              </w:rPr>
            </w:pPr>
            <w:r w:rsidRPr="00DE3B69">
              <w:rPr>
                <w:rFonts w:ascii="Times New Roman" w:hAnsi="Times New Roman" w:eastAsia="Times New Roman" w:cs="Times New Roman"/>
                <w:color w:val="000000"/>
                <w:sz w:val="18"/>
                <w:szCs w:val="18"/>
              </w:rPr>
              <w:t>471</w:t>
            </w:r>
          </w:p>
        </w:tc>
      </w:tr>
      <w:tr w14:paraId="2D875253" w:rsidR="009E6BB4" w:rsidRPr="00DE3B69" w:rsidTr="00191697">
        <w:trPr>
          <w:trHeight w:val="330"/>
        </w:trPr>
        <w:tc>
          <w:tcPr>
            <w:tcW w:w="1275" w:type="dxa"/>
            <w:tcBorders>
              <w:top w:val="nil"/>
              <w:left w:val="single" w:sz="8" w:space="0" w:color="auto"/>
              <w:bottom w:val="single" w:sz="8" w:space="0" w:color="auto"/>
              <w:right w:val="single" w:sz="4" w:space="0" w:color="auto"/>
            </w:tcBorders>
            <w:shd w:val="clear" w:color="auto" w:fill="auto"/>
            <w:hideMark/>
          </w:tcPr>
          <w:p w14:paraId="20038F6C" w:rsidR="009E6BB4" w:rsidRPr="00DE3B69" w:rsidRDefault="009E6BB4" w:rsidP="00191697">
            <w:pPr>
              <w:spacing w:after="0" w:line="240" w:lineRule="auto"/>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Total</w:t>
            </w:r>
          </w:p>
        </w:tc>
        <w:tc>
          <w:tcPr>
            <w:tcW w:w="1320" w:type="dxa"/>
            <w:tcBorders>
              <w:top w:val="nil"/>
              <w:left w:val="nil"/>
              <w:bottom w:val="single" w:sz="8" w:space="0" w:color="auto"/>
              <w:right w:val="single" w:sz="4" w:space="0" w:color="auto"/>
            </w:tcBorders>
            <w:shd w:val="clear" w:color="auto" w:fill="auto"/>
            <w:noWrap/>
            <w:hideMark/>
          </w:tcPr>
          <w:p w14:paraId="5C3893E5"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309</w:t>
            </w:r>
          </w:p>
        </w:tc>
        <w:tc>
          <w:tcPr>
            <w:tcW w:w="1360" w:type="dxa"/>
            <w:tcBorders>
              <w:top w:val="nil"/>
              <w:left w:val="nil"/>
              <w:bottom w:val="single" w:sz="8" w:space="0" w:color="auto"/>
              <w:right w:val="single" w:sz="4" w:space="0" w:color="auto"/>
            </w:tcBorders>
            <w:shd w:val="clear" w:color="auto" w:fill="auto"/>
            <w:noWrap/>
            <w:hideMark/>
          </w:tcPr>
          <w:p w14:paraId="2EAC45F3"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200</w:t>
            </w:r>
          </w:p>
        </w:tc>
        <w:tc>
          <w:tcPr>
            <w:tcW w:w="1190" w:type="dxa"/>
            <w:tcBorders>
              <w:top w:val="nil"/>
              <w:left w:val="nil"/>
              <w:bottom w:val="single" w:sz="8" w:space="0" w:color="auto"/>
              <w:right w:val="single" w:sz="4" w:space="0" w:color="auto"/>
            </w:tcBorders>
            <w:shd w:val="clear" w:color="auto" w:fill="auto"/>
            <w:noWrap/>
            <w:hideMark/>
          </w:tcPr>
          <w:p w14:paraId="7F274CCA"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51</w:t>
            </w:r>
          </w:p>
        </w:tc>
        <w:tc>
          <w:tcPr>
            <w:tcW w:w="996" w:type="dxa"/>
            <w:tcBorders>
              <w:top w:val="nil"/>
              <w:left w:val="nil"/>
              <w:bottom w:val="single" w:sz="8" w:space="0" w:color="auto"/>
              <w:right w:val="single" w:sz="4" w:space="0" w:color="auto"/>
            </w:tcBorders>
            <w:shd w:val="clear" w:color="auto" w:fill="auto"/>
            <w:noWrap/>
            <w:hideMark/>
          </w:tcPr>
          <w:p w14:paraId="517654A2"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106</w:t>
            </w:r>
          </w:p>
        </w:tc>
        <w:tc>
          <w:tcPr>
            <w:tcW w:w="1300" w:type="dxa"/>
            <w:tcBorders>
              <w:top w:val="nil"/>
              <w:left w:val="nil"/>
              <w:bottom w:val="single" w:sz="8" w:space="0" w:color="auto"/>
              <w:right w:val="single" w:sz="4" w:space="0" w:color="auto"/>
            </w:tcBorders>
            <w:shd w:val="clear" w:color="auto" w:fill="auto"/>
            <w:noWrap/>
            <w:hideMark/>
          </w:tcPr>
          <w:p w14:paraId="7FC4B082"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369</w:t>
            </w:r>
          </w:p>
        </w:tc>
        <w:tc>
          <w:tcPr>
            <w:tcW w:w="960" w:type="dxa"/>
            <w:tcBorders>
              <w:top w:val="nil"/>
              <w:left w:val="nil"/>
              <w:bottom w:val="single" w:sz="8" w:space="0" w:color="auto"/>
              <w:right w:val="single" w:sz="4" w:space="0" w:color="auto"/>
            </w:tcBorders>
            <w:shd w:val="clear" w:color="auto" w:fill="auto"/>
            <w:noWrap/>
            <w:hideMark/>
          </w:tcPr>
          <w:p w14:paraId="70C202BA"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194</w:t>
            </w:r>
          </w:p>
        </w:tc>
        <w:tc>
          <w:tcPr>
            <w:tcW w:w="960" w:type="dxa"/>
            <w:tcBorders>
              <w:top w:val="nil"/>
              <w:left w:val="nil"/>
              <w:bottom w:val="single" w:sz="8" w:space="0" w:color="auto"/>
              <w:right w:val="single" w:sz="8" w:space="0" w:color="auto"/>
            </w:tcBorders>
            <w:shd w:val="clear" w:color="auto" w:fill="auto"/>
            <w:noWrap/>
            <w:hideMark/>
          </w:tcPr>
          <w:p w14:paraId="5D5F28D5" w:rsidR="009E6BB4" w:rsidRPr="00DE3B69" w:rsidRDefault="009E6BB4" w:rsidP="00191697">
            <w:pPr>
              <w:spacing w:after="0" w:line="240" w:lineRule="auto"/>
              <w:jc w:val="right"/>
              <w:rPr>
                <w:rFonts w:ascii="Times New Roman" w:eastAsia="Times New Roman" w:hAnsi="Times New Roman" w:cs="Times New Roman"/>
                <w:b/>
                <w:bCs/>
                <w:color w:val="000000"/>
                <w:sz w:val="18"/>
                <w:szCs w:val="18"/>
              </w:rPr>
            </w:pPr>
            <w:r w:rsidRPr="00DE3B69">
              <w:rPr>
                <w:rFonts w:ascii="Times New Roman" w:hAnsi="Times New Roman" w:eastAsia="Times New Roman" w:cs="Times New Roman"/>
                <w:b/>
                <w:bCs/>
                <w:color w:val="000000"/>
                <w:sz w:val="18"/>
                <w:szCs w:val="18"/>
              </w:rPr>
              <w:t>1229</w:t>
            </w:r>
          </w:p>
        </w:tc>
      </w:tr>
    </w:tbl>
    <w:p w14:paraId="3E1FAA96" w:rsidR="009E6BB4" w:rsidRDefault="009E6BB4" w:rsidP="009E6BB4">
      <w:pPr>
        <w:pStyle w:val="ListParagraph"/>
        <w:spacing w:after="240" w:line="240" w:lineRule="auto"/>
        <w:ind w:left="0"/>
        <w:contextualSpacing w:val="0"/>
        <w:jc w:val="both"/>
        <w:rPr>
          <w:rFonts w:ascii="Times New Roman" w:hAnsi="Times New Roman" w:cs="Times New Roman"/>
        </w:rPr>
      </w:pPr>
    </w:p>
    <w:p w14:paraId="054EEE5C" w:rsidR="00712737" w:rsidRPr="00D632F5" w:rsidRDefault="00B620DF"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 xml:space="preserve">In addition to providing livelihood opportunities for participating farmers, the aforementioned  activities </w:t>
      </w:r>
      <w:r w:rsidR="00712737" w:rsidRPr="00D632F5">
        <w:rPr>
          <w:rFonts w:ascii="Times New Roman" w:hAnsi="Times New Roman" w:cs="Times New Roman"/>
        </w:rPr>
        <w:t>will increase  water  infiltration,  percolation,  retention  and gradual release,  thereby promoting  soil and water  conservation,  reducing  siltation,  and contributing  to improved  quality  and quantity  of water for human use. Furthermore, aquatic life in streams will benefit from increased water flows, while coral reefs and other downstream marine ecosystems will benefit from reduced sedimentation and pollution from land-based sources, thereby also generating BD benefits.</w:t>
      </w:r>
    </w:p>
    <w:p w14:paraId="29B7CDEC" w:rsidR="00266704" w:rsidRPr="00D632F5" w:rsidRDefault="0026670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632F5">
        <w:rPr>
          <w:rFonts w:ascii="Times New Roman" w:hAnsi="Times New Roman" w:cs="Times New Roman"/>
        </w:rPr>
        <w:t>The first of the three activities will implement an initiative that would e</w:t>
      </w:r>
      <w:r w:rsidR="00B620DF">
        <w:rPr>
          <w:rFonts w:ascii="Times New Roman" w:hAnsi="Times New Roman" w:cs="Times New Roman"/>
        </w:rPr>
        <w:t xml:space="preserve">nhance </w:t>
      </w:r>
      <w:r w:rsidR="00B620DF" w:rsidRPr="00854957">
        <w:rPr>
          <w:rFonts w:ascii="Times New Roman" w:hAnsi="Times New Roman" w:cs="Times New Roman"/>
          <w:u w:val="single"/>
        </w:rPr>
        <w:t>Sustainable Agricultural</w:t>
      </w:r>
      <w:r w:rsidRPr="00854957">
        <w:rPr>
          <w:rFonts w:ascii="Times New Roman" w:hAnsi="Times New Roman" w:cs="Times New Roman"/>
          <w:u w:val="single"/>
        </w:rPr>
        <w:t xml:space="preserve"> Production</w:t>
      </w:r>
      <w:r w:rsidRPr="00D632F5">
        <w:rPr>
          <w:rFonts w:ascii="Times New Roman" w:hAnsi="Times New Roman" w:cs="Times New Roman"/>
        </w:rPr>
        <w:t xml:space="preserve">, </w:t>
      </w:r>
      <w:r w:rsidR="00B620DF">
        <w:rPr>
          <w:rFonts w:ascii="Times New Roman" w:hAnsi="Times New Roman" w:cs="Times New Roman"/>
        </w:rPr>
        <w:t>recognizing</w:t>
      </w:r>
      <w:r w:rsidRPr="00D632F5">
        <w:rPr>
          <w:rFonts w:ascii="Times New Roman" w:hAnsi="Times New Roman" w:cs="Times New Roman"/>
        </w:rPr>
        <w:t xml:space="preserve"> that farmers </w:t>
      </w:r>
      <w:r w:rsidR="00B620DF">
        <w:rPr>
          <w:rFonts w:ascii="Times New Roman" w:hAnsi="Times New Roman" w:cs="Times New Roman"/>
        </w:rPr>
        <w:t xml:space="preserve">are usually </w:t>
      </w:r>
      <w:r w:rsidRPr="00D632F5">
        <w:rPr>
          <w:rFonts w:ascii="Times New Roman" w:hAnsi="Times New Roman" w:cs="Times New Roman"/>
        </w:rPr>
        <w:t>most interested in improving livelihood opportunities from the economic activities that they are most familiar with</w:t>
      </w:r>
      <w:r w:rsidR="00B620DF">
        <w:rPr>
          <w:rFonts w:ascii="Times New Roman" w:hAnsi="Times New Roman" w:cs="Times New Roman"/>
        </w:rPr>
        <w:t>:</w:t>
      </w:r>
      <w:r w:rsidRPr="00D632F5">
        <w:rPr>
          <w:rFonts w:ascii="Times New Roman" w:hAnsi="Times New Roman" w:cs="Times New Roman"/>
        </w:rPr>
        <w:t xml:space="preserve"> agriculture.  This engagement with farmers will demonstrate cost-effective soil enrichment, water management and apiculture and including capacity building for farmers and the farmer and fishers organizations, and for further enhancement and value-added for farmers and fishers production product development and marketing techniques will be communicated and shared; and the gains of coupling of traditional ecological (and local) knowledge with science based SLM, SFM/REDD+ and CC adaptations, principles and practices will be exploited for the purpose of enhancing production and household incomes within the watershed.   Fortunately the Grenada Federation of Agricultural and Fisheries organization, an apex body and Grenada Marketing and National Importing Board (MNIB) have been engaged in collaborative initiatives with farmers in the recent past.  Additionally the OCES Protected Areas and associated livelihoods (OPAAL) project (2005-2011) established engagements with farmers and fishers within the Beausejour watershed.</w:t>
      </w:r>
    </w:p>
    <w:p w14:paraId="1DC47047" w:rsidR="00266704" w:rsidRPr="00D632F5" w:rsidRDefault="0026670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632F5">
        <w:rPr>
          <w:rFonts w:ascii="Times New Roman" w:hAnsi="Times New Roman" w:cs="Times New Roman"/>
        </w:rPr>
        <w:t xml:space="preserve">The second of the pilot initiative with co-management activities is to involve local area </w:t>
      </w:r>
      <w:r w:rsidR="005B0BC2">
        <w:rPr>
          <w:rFonts w:ascii="Times New Roman" w:hAnsi="Times New Roman" w:cs="Times New Roman"/>
        </w:rPr>
        <w:t>stakeholders</w:t>
      </w:r>
      <w:r w:rsidRPr="00D632F5">
        <w:rPr>
          <w:rFonts w:ascii="Times New Roman" w:hAnsi="Times New Roman" w:cs="Times New Roman"/>
        </w:rPr>
        <w:t xml:space="preserve"> in </w:t>
      </w:r>
      <w:r w:rsidRPr="00854957">
        <w:rPr>
          <w:rFonts w:ascii="Times New Roman" w:hAnsi="Times New Roman" w:cs="Times New Roman"/>
          <w:u w:val="single"/>
        </w:rPr>
        <w:t>Sustainable Rangeland Management</w:t>
      </w:r>
      <w:r w:rsidRPr="00D632F5">
        <w:rPr>
          <w:rFonts w:ascii="Times New Roman" w:hAnsi="Times New Roman" w:cs="Times New Roman"/>
        </w:rPr>
        <w:t xml:space="preserve"> where adverse impacts of animal farming are mitigated for.  The </w:t>
      </w:r>
      <w:r w:rsidR="00975A9A">
        <w:rPr>
          <w:rFonts w:ascii="Times New Roman" w:hAnsi="Times New Roman" w:cs="Times New Roman"/>
        </w:rPr>
        <w:t>pilot</w:t>
      </w:r>
      <w:r w:rsidRPr="00D632F5">
        <w:rPr>
          <w:rFonts w:ascii="Times New Roman" w:hAnsi="Times New Roman" w:cs="Times New Roman"/>
        </w:rPr>
        <w:t xml:space="preserve"> will focus on the unsustainable management of animal grazing for annual corralling within the watershed. The project will be responding to the issues of grazing on the steep landscapes and pig farms, normally placed on the river banks, leaking wastes into the streams and Main River.  There will be an engagement with farmers that would plan mitigation measures in the context of SLM, SFM / REDD + and CC adaptation principles and practices in order to manage and conserve the BD and ecosystems systems.  This effort </w:t>
      </w:r>
      <w:r w:rsidR="00854957">
        <w:rPr>
          <w:rFonts w:ascii="Times New Roman" w:hAnsi="Times New Roman" w:cs="Times New Roman"/>
        </w:rPr>
        <w:t>will</w:t>
      </w:r>
      <w:r w:rsidRPr="00D632F5">
        <w:rPr>
          <w:rFonts w:ascii="Times New Roman" w:hAnsi="Times New Roman" w:cs="Times New Roman"/>
        </w:rPr>
        <w:t xml:space="preserve"> necessarily require the involvement of several units of the Ministry of Agriculture, notably Extension services and Veterinary, for education and awareness and also for generating response options from the farmers themselves.</w:t>
      </w:r>
    </w:p>
    <w:p w14:paraId="13248AB5" w:rsidR="00266704" w:rsidRPr="00D632F5" w:rsidRDefault="0026670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632F5">
        <w:rPr>
          <w:rFonts w:ascii="Times New Roman" w:hAnsi="Times New Roman" w:cs="Times New Roman"/>
        </w:rPr>
        <w:t xml:space="preserve">The third initiative project activity is geared to implement a </w:t>
      </w:r>
      <w:r w:rsidRPr="00854957">
        <w:rPr>
          <w:rFonts w:ascii="Times New Roman" w:hAnsi="Times New Roman" w:cs="Times New Roman"/>
          <w:u w:val="single"/>
        </w:rPr>
        <w:t>Sustainable Forest Management (SFM)</w:t>
      </w:r>
      <w:r w:rsidRPr="00D632F5">
        <w:rPr>
          <w:rFonts w:ascii="Times New Roman" w:hAnsi="Times New Roman" w:cs="Times New Roman"/>
        </w:rPr>
        <w:t xml:space="preserve"> initiative that would involve communities in an integrated suite of agro-forestry interventions.   Agro-forestry is considered as a most appropriate tool for responding to the existing natural and human threats to BD and sustainable management of ecosystems services.  Agro-forestation within the Beausejour watershed is critically needed for mitigating the depletion of forest coverage on steep landscapes. The project response will facilitate reforestation using useful economic forest crops that are of interest to farmers in that they would generate livelihood benefits; this option is considerable versus the natural regeneration of forest coverage which will be very long term and risk prone. The project is designed to provide nursery seedlings of native species while avoiding invasive species such as the pervasive bamboo.  An integral remedy as response to Threats to Biodiversity and Ecosystems Services in the recent years is the Woodland Fire Prevention and control activities needed at the village level.  This third activity will engage community persons and persons from Competent Authorities in collaborative training and then delivery of outputs.</w:t>
      </w:r>
    </w:p>
    <w:p w14:paraId="0604955E" w:rsidR="00712737" w:rsidRPr="00D632F5" w:rsidRDefault="0095304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632F5">
        <w:rPr>
          <w:rFonts w:ascii="Times New Roman" w:hAnsi="Times New Roman" w:cs="Times New Roman"/>
        </w:rPr>
        <w:t xml:space="preserve">Over </w:t>
      </w:r>
      <w:r w:rsidR="00712737" w:rsidRPr="00D632F5">
        <w:rPr>
          <w:rFonts w:ascii="Times New Roman" w:hAnsi="Times New Roman" w:cs="Times New Roman"/>
        </w:rPr>
        <w:t xml:space="preserve">the long-term (post-project), </w:t>
      </w:r>
      <w:r w:rsidR="00854957">
        <w:rPr>
          <w:rFonts w:ascii="Times New Roman" w:hAnsi="Times New Roman" w:cs="Times New Roman"/>
        </w:rPr>
        <w:t xml:space="preserve">it is envisaged that </w:t>
      </w:r>
      <w:r w:rsidR="00712737" w:rsidRPr="00D632F5">
        <w:rPr>
          <w:rFonts w:ascii="Times New Roman" w:hAnsi="Times New Roman" w:cs="Times New Roman"/>
        </w:rPr>
        <w:t xml:space="preserve">site-level activities will be implemented throughout the entire watershed based on the watershed management plan, and up-scaling of such activities throughout the country will be enabled.  </w:t>
      </w:r>
      <w:r w:rsidR="00854957">
        <w:rPr>
          <w:rFonts w:ascii="Times New Roman" w:hAnsi="Times New Roman" w:cs="Times New Roman"/>
        </w:rPr>
        <w:t xml:space="preserve">The </w:t>
      </w:r>
      <w:r w:rsidR="00712737" w:rsidRPr="00D632F5">
        <w:rPr>
          <w:rFonts w:ascii="Times New Roman" w:hAnsi="Times New Roman" w:cs="Times New Roman"/>
        </w:rPr>
        <w:t xml:space="preserve">SLM and SFM  practices and </w:t>
      </w:r>
      <w:r w:rsidR="00854957">
        <w:rPr>
          <w:rFonts w:ascii="Times New Roman" w:hAnsi="Times New Roman" w:cs="Times New Roman"/>
        </w:rPr>
        <w:t>Ridge-to-Reef</w:t>
      </w:r>
      <w:r w:rsidR="00712737" w:rsidRPr="00D632F5">
        <w:rPr>
          <w:rFonts w:ascii="Times New Roman" w:hAnsi="Times New Roman" w:cs="Times New Roman"/>
        </w:rPr>
        <w:t xml:space="preserve"> approach for  BD-LD conservation demonstrated in the Beausejour  watershed  will be promoted  in other baseline initiatives,  such as the ongoing re-vegetation of forested areas in the aftermath of Hu</w:t>
      </w:r>
      <w:r w:rsidR="00854957">
        <w:rPr>
          <w:rFonts w:ascii="Times New Roman" w:hAnsi="Times New Roman" w:cs="Times New Roman"/>
        </w:rPr>
        <w:t>rricane Ivan; the Programme on</w:t>
      </w:r>
      <w:r w:rsidR="00712737" w:rsidRPr="00D632F5">
        <w:rPr>
          <w:rFonts w:ascii="Times New Roman" w:hAnsi="Times New Roman" w:cs="Times New Roman"/>
        </w:rPr>
        <w:t xml:space="preserve"> Integrated Adaptation Strategies in Grenada, which is implementing Climate Resilient Integrated Water and Coastal Resource Management  activities; and the Strategic Program for Climate Resilience, which is undertaking reforestation and sustainable forest  management activities.  </w:t>
      </w:r>
    </w:p>
    <w:p w14:paraId="3657B451" w:rsidR="00712737" w:rsidRPr="00D632F5" w:rsidRDefault="00712737" w:rsidP="00712737">
      <w:pPr>
        <w:spacing w:after="240" w:line="240" w:lineRule="auto"/>
        <w:rPr>
          <w:rFonts w:ascii="Times New Roman" w:hAnsi="Times New Roman" w:cs="Times New Roman"/>
        </w:rPr>
      </w:pPr>
    </w:p>
    <w:p w14:paraId="0448C364" w:rsidR="00266704" w:rsidRDefault="00854957" w:rsidP="00266704">
      <w:pPr>
        <w:pStyle w:val="Heading3"/>
      </w:pPr>
      <w:bookmarkStart w:id="36" w:name="_Toc387615943"/>
      <w:bookmarkStart w:id="37" w:name="_Toc389820967"/>
      <w:r>
        <w:t>Global</w:t>
      </w:r>
      <w:r w:rsidR="00133632" w:rsidRPr="00853873">
        <w:t xml:space="preserve"> Benefits</w:t>
      </w:r>
      <w:r w:rsidR="00133632" w:rsidRPr="00DC4545">
        <w:t>:</w:t>
      </w:r>
      <w:bookmarkEnd w:id="36"/>
      <w:bookmarkEnd w:id="37"/>
      <w:r w:rsidR="00133632" w:rsidRPr="00DC4545">
        <w:t xml:space="preserve"> </w:t>
      </w:r>
    </w:p>
    <w:p w14:paraId="4E70F180" w:rsidR="00133632" w:rsidRPr="00DC4545" w:rsidRDefault="0026670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This   project</w:t>
      </w:r>
      <w:r w:rsidR="00133632" w:rsidRPr="00DC4545">
        <w:rPr>
          <w:rFonts w:ascii="Times New Roman" w:hAnsi="Times New Roman" w:cs="Times New Roman"/>
        </w:rPr>
        <w:t xml:space="preserve"> will result</w:t>
      </w:r>
      <w:r>
        <w:rPr>
          <w:rFonts w:ascii="Times New Roman" w:hAnsi="Times New Roman" w:cs="Times New Roman"/>
        </w:rPr>
        <w:t xml:space="preserve"> </w:t>
      </w:r>
      <w:r w:rsidR="00DC2C5C">
        <w:rPr>
          <w:rFonts w:ascii="Times New Roman" w:hAnsi="Times New Roman" w:cs="Times New Roman"/>
        </w:rPr>
        <w:t>in ecological</w:t>
      </w:r>
      <w:r w:rsidR="00101B11">
        <w:rPr>
          <w:rFonts w:ascii="Times New Roman" w:hAnsi="Times New Roman" w:cs="Times New Roman"/>
        </w:rPr>
        <w:t xml:space="preserve"> sustainab</w:t>
      </w:r>
      <w:r w:rsidR="00930268">
        <w:rPr>
          <w:rFonts w:ascii="Times New Roman" w:hAnsi="Times New Roman" w:cs="Times New Roman"/>
        </w:rPr>
        <w:t>ility of terrestrial and marine</w:t>
      </w:r>
      <w:r w:rsidR="00101B11">
        <w:rPr>
          <w:rFonts w:ascii="Times New Roman" w:hAnsi="Times New Roman" w:cs="Times New Roman"/>
        </w:rPr>
        <w:t xml:space="preserve"> ecosystems,</w:t>
      </w:r>
      <w:r w:rsidR="00470CE4">
        <w:rPr>
          <w:rFonts w:ascii="Times New Roman" w:hAnsi="Times New Roman" w:cs="Times New Roman"/>
        </w:rPr>
        <w:t xml:space="preserve"> which </w:t>
      </w:r>
      <w:r w:rsidR="00133632" w:rsidRPr="00DC4545">
        <w:rPr>
          <w:rFonts w:ascii="Times New Roman" w:hAnsi="Times New Roman" w:cs="Times New Roman"/>
        </w:rPr>
        <w:t>will result in enhanced quantity and values of ecosystem goods and services, includin</w:t>
      </w:r>
      <w:r w:rsidR="00D632F5">
        <w:rPr>
          <w:rFonts w:ascii="Times New Roman" w:hAnsi="Times New Roman" w:cs="Times New Roman"/>
        </w:rPr>
        <w:t>g: shoreline maintenance, storm</w:t>
      </w:r>
      <w:r w:rsidR="0042567A">
        <w:rPr>
          <w:rFonts w:ascii="Times New Roman" w:hAnsi="Times New Roman" w:cs="Times New Roman"/>
        </w:rPr>
        <w:t xml:space="preserve"> protection, soil</w:t>
      </w:r>
      <w:r w:rsidR="00470CE4">
        <w:rPr>
          <w:rFonts w:ascii="Times New Roman" w:hAnsi="Times New Roman" w:cs="Times New Roman"/>
        </w:rPr>
        <w:t xml:space="preserve"> protection,</w:t>
      </w:r>
      <w:r w:rsidR="00133632" w:rsidRPr="00DC4545">
        <w:rPr>
          <w:rFonts w:ascii="Times New Roman" w:hAnsi="Times New Roman" w:cs="Times New Roman"/>
        </w:rPr>
        <w:t xml:space="preserve"> water provision</w:t>
      </w:r>
      <w:r w:rsidR="00101B11">
        <w:rPr>
          <w:rFonts w:ascii="Times New Roman" w:hAnsi="Times New Roman" w:cs="Times New Roman"/>
        </w:rPr>
        <w:t xml:space="preserve"> (quality </w:t>
      </w:r>
      <w:r w:rsidR="00133632" w:rsidRPr="00DC4545">
        <w:rPr>
          <w:rFonts w:ascii="Times New Roman" w:hAnsi="Times New Roman" w:cs="Times New Roman"/>
        </w:rPr>
        <w:t>and quantity), flood control, carbon sequest</w:t>
      </w:r>
      <w:r w:rsidR="00470CE4">
        <w:rPr>
          <w:rFonts w:ascii="Times New Roman" w:hAnsi="Times New Roman" w:cs="Times New Roman"/>
        </w:rPr>
        <w:t>ration, tourism attractions and</w:t>
      </w:r>
      <w:r w:rsidR="00133632" w:rsidRPr="00DC4545">
        <w:rPr>
          <w:rFonts w:ascii="Times New Roman" w:hAnsi="Times New Roman" w:cs="Times New Roman"/>
        </w:rPr>
        <w:t xml:space="preserve"> increased resilience and self-repair of ecosystems from other stresses</w:t>
      </w:r>
      <w:r w:rsidR="00470CE4">
        <w:rPr>
          <w:rFonts w:ascii="Times New Roman" w:hAnsi="Times New Roman" w:cs="Times New Roman"/>
        </w:rPr>
        <w:t>,</w:t>
      </w:r>
      <w:r w:rsidR="00133632" w:rsidRPr="00DC4545">
        <w:rPr>
          <w:rFonts w:ascii="Times New Roman" w:hAnsi="Times New Roman" w:cs="Times New Roman"/>
        </w:rPr>
        <w:t xml:space="preserve"> such as increased sea temperature.  The project will provide direct benefits for </w:t>
      </w:r>
      <w:r w:rsidR="00101B11">
        <w:rPr>
          <w:rFonts w:ascii="Times New Roman" w:hAnsi="Times New Roman" w:cs="Times New Roman"/>
        </w:rPr>
        <w:t>e</w:t>
      </w:r>
      <w:r w:rsidR="00133632" w:rsidRPr="00DC4545">
        <w:rPr>
          <w:rFonts w:ascii="Times New Roman" w:hAnsi="Times New Roman" w:cs="Times New Roman"/>
        </w:rPr>
        <w:t>ndangered species</w:t>
      </w:r>
      <w:r w:rsidR="00101B11">
        <w:rPr>
          <w:rFonts w:ascii="Times New Roman" w:hAnsi="Times New Roman" w:cs="Times New Roman"/>
        </w:rPr>
        <w:t>,</w:t>
      </w:r>
      <w:r w:rsidR="00133632" w:rsidRPr="00DC4545">
        <w:rPr>
          <w:rFonts w:ascii="Times New Roman" w:hAnsi="Times New Roman" w:cs="Times New Roman"/>
        </w:rPr>
        <w:t xml:space="preserve"> e.g</w:t>
      </w:r>
      <w:r w:rsidR="00101B11">
        <w:rPr>
          <w:rFonts w:ascii="Times New Roman" w:hAnsi="Times New Roman" w:cs="Times New Roman"/>
        </w:rPr>
        <w:t>. the endemic</w:t>
      </w:r>
      <w:r w:rsidR="00133632" w:rsidRPr="00DC4545">
        <w:rPr>
          <w:rFonts w:ascii="Times New Roman" w:hAnsi="Times New Roman" w:cs="Times New Roman"/>
        </w:rPr>
        <w:t xml:space="preserve"> Grenada Dove </w:t>
      </w:r>
      <w:r w:rsidR="00133632" w:rsidRPr="00DC4545">
        <w:rPr>
          <w:rFonts w:ascii="Times New Roman" w:hAnsi="Times New Roman" w:cs="Times New Roman"/>
          <w:i/>
        </w:rPr>
        <w:t xml:space="preserve">(Leptotilawellsi) </w:t>
      </w:r>
      <w:r w:rsidR="00133632" w:rsidRPr="00DC4545">
        <w:rPr>
          <w:rFonts w:ascii="Times New Roman" w:hAnsi="Times New Roman" w:cs="Times New Roman"/>
        </w:rPr>
        <w:t>and six species of marine turtles (Green, Leatherback, Loggerhead, Hawksbill, Kemps Ridley and</w:t>
      </w:r>
      <w:r w:rsidR="00101B11">
        <w:rPr>
          <w:rFonts w:ascii="Times New Roman" w:hAnsi="Times New Roman" w:cs="Times New Roman"/>
        </w:rPr>
        <w:t xml:space="preserve"> Olive Ridley) found in Grenada’</w:t>
      </w:r>
      <w:r w:rsidR="00133632" w:rsidRPr="00DC4545">
        <w:rPr>
          <w:rFonts w:ascii="Times New Roman" w:hAnsi="Times New Roman" w:cs="Times New Roman"/>
        </w:rPr>
        <w:t>s waters.  A more detailed analysis of global environmental benefits is provided in the table below.</w:t>
      </w:r>
    </w:p>
    <w:p w14:paraId="45CA765E" w:rsidR="00133632" w:rsidRPr="00DC4545" w:rsidRDefault="00133632" w:rsidP="0042567A">
      <w:pPr>
        <w:rPr>
          <w:rFonts w:ascii="Times New Roman" w:hAnsi="Times New Roman" w:cs="Times New Roman"/>
          <w:b/>
        </w:rPr>
      </w:pPr>
      <w:r w:rsidRPr="00DC4545">
        <w:rPr>
          <w:rFonts w:ascii="Times New Roman" w:hAnsi="Times New Roman" w:cs="Times New Roman"/>
          <w:b/>
        </w:rPr>
        <w:t xml:space="preserve">Table </w:t>
      </w:r>
      <w:r w:rsidR="00D25036">
        <w:rPr>
          <w:rFonts w:ascii="Times New Roman" w:hAnsi="Times New Roman" w:cs="Times New Roman"/>
          <w:b/>
        </w:rPr>
        <w:t>5</w:t>
      </w:r>
      <w:r w:rsidRPr="00DC4545">
        <w:rPr>
          <w:rFonts w:ascii="Times New Roman" w:hAnsi="Times New Roman" w:cs="Times New Roman"/>
          <w:b/>
        </w:rPr>
        <w:t>:   Demonstration of the impact of alt</w:t>
      </w:r>
      <w:r w:rsidR="008E5A15">
        <w:rPr>
          <w:rFonts w:ascii="Times New Roman" w:hAnsi="Times New Roman" w:cs="Times New Roman"/>
          <w:b/>
        </w:rPr>
        <w:t>ernative interventions within PA</w:t>
      </w:r>
      <w:r w:rsidR="0067372C">
        <w:rPr>
          <w:rFonts w:ascii="Times New Roman" w:hAnsi="Times New Roman" w:cs="Times New Roman"/>
          <w:b/>
        </w:rPr>
        <w:t>s</w:t>
      </w:r>
    </w:p>
    <w:tbl>
      <w:tblPr>
        <w:tblStyle w:val="TableGrid"/>
        <w:tblW w:w="11124" w:type="dxa"/>
        <w:jc w:val="center"/>
        <w:tblLayout w:type="fixed"/>
        <w:tblLook w:val="04A0" w:firstRow="1" w:lastRow="0" w:firstColumn="1" w:lastColumn="0" w:noHBand="0" w:noVBand="1"/>
      </w:tblPr>
      <w:tblGrid>
        <w:gridCol w:w="3924"/>
        <w:gridCol w:w="3848"/>
        <w:gridCol w:w="3352"/>
      </w:tblGrid>
      <w:tr w14:paraId="60CAD3A4" w:rsidR="00133632" w:rsidRPr="00407AAD" w:rsidTr="004B0B2C">
        <w:trPr>
          <w:trHeight w:val="522"/>
          <w:tblHeader/>
          <w:jc w:val="center"/>
        </w:trPr>
        <w:tc>
          <w:tcPr>
            <w:tcW w:w="3924" w:type="dxa"/>
            <w:shd w:val="clear" w:color="auto" w:fill="EEECE1" w:themeFill="background2"/>
          </w:tcPr>
          <w:p w14:paraId="40DAB1FA" w:rsidR="00133632" w:rsidRPr="00407AAD" w:rsidRDefault="00133632" w:rsidP="004B0B2C">
            <w:pPr>
              <w:widowControl w:val="0"/>
              <w:autoSpaceDE w:val="0"/>
              <w:autoSpaceDN w:val="0"/>
              <w:adjustRightInd w:val="0"/>
              <w:spacing w:before="76" w:line="255" w:lineRule="auto"/>
              <w:rPr>
                <w:rFonts w:ascii="Times New Roman" w:hAnsi="Times New Roman" w:cs="Times New Roman"/>
                <w:b/>
              </w:rPr>
            </w:pPr>
            <w:r w:rsidRPr="00407AAD">
              <w:rPr>
                <w:rFonts w:ascii="Times New Roman" w:hAnsi="Times New Roman" w:cs="Times New Roman"/>
                <w:b/>
              </w:rPr>
              <w:t xml:space="preserve">Current Situation </w:t>
            </w:r>
          </w:p>
        </w:tc>
        <w:tc>
          <w:tcPr>
            <w:tcW w:w="3848" w:type="dxa"/>
            <w:shd w:val="clear" w:color="auto" w:fill="EEECE1" w:themeFill="background2"/>
          </w:tcPr>
          <w:p w14:paraId="2581EB0E" w:rsidR="00133632" w:rsidRPr="00407AAD" w:rsidRDefault="00133632" w:rsidP="009C3E04">
            <w:pPr>
              <w:widowControl w:val="0"/>
              <w:autoSpaceDE w:val="0"/>
              <w:autoSpaceDN w:val="0"/>
              <w:adjustRightInd w:val="0"/>
              <w:spacing w:before="76" w:line="255" w:lineRule="auto"/>
              <w:ind w:right="166"/>
              <w:rPr>
                <w:rFonts w:ascii="Times New Roman" w:hAnsi="Times New Roman" w:cs="Times New Roman"/>
                <w:b/>
              </w:rPr>
            </w:pPr>
            <w:r w:rsidRPr="00407AAD">
              <w:rPr>
                <w:rFonts w:ascii="Times New Roman" w:hAnsi="Times New Roman" w:cs="Times New Roman"/>
                <w:b/>
              </w:rPr>
              <w:t>Alternative to be put in place by the project</w:t>
            </w:r>
          </w:p>
        </w:tc>
        <w:tc>
          <w:tcPr>
            <w:tcW w:w="3352" w:type="dxa"/>
            <w:shd w:val="clear" w:color="auto" w:fill="EEECE1" w:themeFill="background2"/>
          </w:tcPr>
          <w:p w14:paraId="360B4051" w:rsidR="00133632" w:rsidRPr="00407AAD" w:rsidRDefault="00133632" w:rsidP="009C3E04">
            <w:pPr>
              <w:widowControl w:val="0"/>
              <w:autoSpaceDE w:val="0"/>
              <w:autoSpaceDN w:val="0"/>
              <w:adjustRightInd w:val="0"/>
              <w:spacing w:before="76" w:line="255" w:lineRule="auto"/>
              <w:ind w:right="166"/>
              <w:rPr>
                <w:rFonts w:ascii="Times New Roman" w:hAnsi="Times New Roman" w:cs="Times New Roman"/>
                <w:b/>
              </w:rPr>
            </w:pPr>
            <w:r w:rsidRPr="00407AAD">
              <w:rPr>
                <w:rFonts w:ascii="Times New Roman" w:hAnsi="Times New Roman" w:cs="Times New Roman"/>
                <w:b/>
              </w:rPr>
              <w:t xml:space="preserve">Selected environment benefits </w:t>
            </w:r>
          </w:p>
        </w:tc>
      </w:tr>
      <w:tr w14:paraId="4004A239" w:rsidR="00133632" w:rsidRPr="00407AAD" w:rsidTr="004B0B2C">
        <w:trPr>
          <w:trHeight w:val="288"/>
          <w:jc w:val="center"/>
        </w:trPr>
        <w:tc>
          <w:tcPr>
            <w:tcW w:w="11124" w:type="dxa"/>
            <w:gridSpan w:val="3"/>
            <w:shd w:val="clear" w:color="auto" w:fill="EEECE1" w:themeFill="background2"/>
          </w:tcPr>
          <w:p w14:paraId="72BDA7E8" w:rsidR="00133632" w:rsidRPr="00407AAD" w:rsidRDefault="00133632" w:rsidP="00CA416F">
            <w:pPr>
              <w:pStyle w:val="ListParagraph"/>
              <w:widowControl w:val="0"/>
              <w:numPr>
                <w:ilvl w:val="0"/>
                <w:numId w:val="4"/>
              </w:numPr>
              <w:autoSpaceDE w:val="0"/>
              <w:autoSpaceDN w:val="0"/>
              <w:adjustRightInd w:val="0"/>
              <w:spacing w:before="76" w:line="255" w:lineRule="auto"/>
              <w:ind w:right="166"/>
              <w:rPr>
                <w:rFonts w:ascii="Times New Roman" w:hAnsi="Times New Roman" w:cs="Times New Roman"/>
                <w:b/>
              </w:rPr>
            </w:pPr>
            <w:r w:rsidRPr="00407AAD">
              <w:rPr>
                <w:rFonts w:ascii="Times New Roman" w:hAnsi="Times New Roman" w:cs="Times New Roman"/>
                <w:b/>
              </w:rPr>
              <w:t xml:space="preserve"> Protected areas </w:t>
            </w:r>
          </w:p>
        </w:tc>
      </w:tr>
      <w:tr w14:paraId="0A2D2918" w:rsidR="008E5A15" w:rsidRPr="00407AAD" w:rsidTr="004B0B2C">
        <w:trPr>
          <w:trHeight w:val="890"/>
          <w:jc w:val="center"/>
        </w:trPr>
        <w:tc>
          <w:tcPr>
            <w:tcW w:w="3924" w:type="dxa"/>
          </w:tcPr>
          <w:p w14:paraId="24C28798" w:rsidR="008E5A15" w:rsidRPr="008E5A15" w:rsidRDefault="008E5A15" w:rsidP="009C3E04">
            <w:pPr>
              <w:widowControl w:val="0"/>
              <w:autoSpaceDE w:val="0"/>
              <w:autoSpaceDN w:val="0"/>
              <w:adjustRightInd w:val="0"/>
              <w:rPr>
                <w:rFonts w:ascii="Times New Roman" w:eastAsia="Times New Roman" w:hAnsi="Times New Roman" w:cs="Times New Roman"/>
                <w:bCs/>
                <w:sz w:val="20"/>
                <w:szCs w:val="20"/>
              </w:rPr>
            </w:pPr>
            <w:r w:rsidRPr="008E5A15">
              <w:rPr>
                <w:rFonts w:ascii="Times New Roman" w:hAnsi="Times New Roman" w:eastAsia="Times New Roman" w:cs="Times New Roman"/>
                <w:b/>
                <w:bCs/>
                <w:sz w:val="20"/>
                <w:szCs w:val="20"/>
              </w:rPr>
              <w:t xml:space="preserve">PA expansion and management: </w:t>
            </w:r>
            <w:r w:rsidRPr="008E5A15">
              <w:rPr>
                <w:rFonts w:ascii="Times New Roman" w:hAnsi="Times New Roman" w:eastAsia="Times New Roman" w:cs="Times New Roman"/>
                <w:bCs/>
                <w:sz w:val="20"/>
                <w:szCs w:val="20"/>
              </w:rPr>
              <w:t>PA Estate exists and slated for expansion, but subject to various constraints to effective management:</w:t>
            </w:r>
          </w:p>
          <w:p w14:paraId="088DF232" w:rsidR="008E5A15" w:rsidRPr="008E5A15" w:rsidRDefault="008E5A15" w:rsidP="00CA416F">
            <w:pPr>
              <w:widowControl w:val="0"/>
              <w:numPr>
                <w:ilvl w:val="0"/>
                <w:numId w:val="54"/>
              </w:numPr>
              <w:autoSpaceDE w:val="0"/>
              <w:autoSpaceDN w:val="0"/>
              <w:adjustRightInd w:val="0"/>
              <w:ind w:left="180" w:hanging="180"/>
              <w:rPr>
                <w:rFonts w:ascii="Times New Roman" w:eastAsia="Times New Roman" w:hAnsi="Times New Roman" w:cs="Times New Roman"/>
                <w:bCs/>
                <w:sz w:val="20"/>
                <w:szCs w:val="20"/>
              </w:rPr>
            </w:pPr>
            <w:r w:rsidRPr="008E5A15">
              <w:rPr>
                <w:rFonts w:ascii="Times New Roman" w:hAnsi="Times New Roman" w:eastAsia="Times New Roman" w:cs="Times New Roman"/>
                <w:bCs/>
                <w:sz w:val="20"/>
                <w:szCs w:val="20"/>
              </w:rPr>
              <w:t>Diffuse and poorly coordinated authority over protected areas (existing PAs managed by one government and two non-governmental agencies), reducing public awareness about PAs; limiting the pooling of resources, information and training; and creating uncertainty regarding the objectives and management structure for any new PAs (including options for community co-</w:t>
            </w:r>
            <w:r w:rsidRPr="00407AAD">
              <w:rPr>
                <w:rFonts w:ascii="Times New Roman" w:hAnsi="Times New Roman" w:eastAsia="Times New Roman" w:cs="Times New Roman"/>
                <w:bCs/>
                <w:sz w:val="20"/>
                <w:szCs w:val="20"/>
              </w:rPr>
              <w:t>m</w:t>
            </w:r>
            <w:r w:rsidRPr="008E5A15">
              <w:rPr>
                <w:rFonts w:ascii="Times New Roman" w:hAnsi="Times New Roman" w:eastAsia="Times New Roman" w:cs="Times New Roman"/>
                <w:bCs/>
                <w:sz w:val="20"/>
                <w:szCs w:val="20"/>
              </w:rPr>
              <w:t xml:space="preserve">anagement) </w:t>
            </w:r>
          </w:p>
          <w:p w14:paraId="37602689" w:rsidR="008E5A15" w:rsidRPr="008E5A15" w:rsidRDefault="008E5A15" w:rsidP="00CA416F">
            <w:pPr>
              <w:widowControl w:val="0"/>
              <w:numPr>
                <w:ilvl w:val="0"/>
                <w:numId w:val="54"/>
              </w:numPr>
              <w:autoSpaceDE w:val="0"/>
              <w:autoSpaceDN w:val="0"/>
              <w:adjustRightInd w:val="0"/>
              <w:ind w:left="180" w:hanging="180"/>
              <w:rPr>
                <w:rFonts w:ascii="Times New Roman" w:eastAsia="Times New Roman" w:hAnsi="Times New Roman" w:cs="Times New Roman"/>
                <w:bCs/>
                <w:sz w:val="20"/>
                <w:szCs w:val="20"/>
              </w:rPr>
            </w:pPr>
            <w:r w:rsidRPr="008E5A15">
              <w:rPr>
                <w:rFonts w:ascii="Times New Roman" w:hAnsi="Times New Roman" w:eastAsia="Times New Roman" w:cs="Times New Roman"/>
                <w:bCs/>
                <w:sz w:val="20"/>
                <w:szCs w:val="20"/>
              </w:rPr>
              <w:t>Lack of specific regulations for PA management, including regulations to authorize the collection and retention of user fees, to establish a centralized authority for PA management, or to implement conservation measures (e.g. controls on overfishing visitor activities/damage, and mining)</w:t>
            </w:r>
          </w:p>
          <w:p w14:paraId="763CA605" w:rsidR="008E5A15" w:rsidRPr="008E5A15" w:rsidRDefault="008E5A15" w:rsidP="00CA416F">
            <w:pPr>
              <w:widowControl w:val="0"/>
              <w:numPr>
                <w:ilvl w:val="0"/>
                <w:numId w:val="54"/>
              </w:numPr>
              <w:autoSpaceDE w:val="0"/>
              <w:autoSpaceDN w:val="0"/>
              <w:adjustRightInd w:val="0"/>
              <w:ind w:left="180" w:hanging="180"/>
              <w:rPr>
                <w:rFonts w:ascii="Times New Roman" w:eastAsia="Times New Roman" w:hAnsi="Times New Roman" w:cs="Times New Roman"/>
                <w:bCs/>
                <w:sz w:val="20"/>
                <w:szCs w:val="20"/>
              </w:rPr>
            </w:pPr>
            <w:r w:rsidRPr="008E5A15">
              <w:rPr>
                <w:rFonts w:ascii="Times New Roman" w:hAnsi="Times New Roman" w:eastAsia="Times New Roman" w:cs="Times New Roman"/>
                <w:bCs/>
                <w:sz w:val="20"/>
                <w:szCs w:val="20"/>
              </w:rPr>
              <w:t>Lack of enforcement capacity, particularly for mining (high elevation areas and beaches)</w:t>
            </w:r>
          </w:p>
          <w:p w14:paraId="71928795" w:rsidR="008E5A15" w:rsidRPr="00407AAD" w:rsidRDefault="008E5A15" w:rsidP="009C3E04">
            <w:pPr>
              <w:widowControl w:val="0"/>
              <w:autoSpaceDE w:val="0"/>
              <w:autoSpaceDN w:val="0"/>
              <w:adjustRightInd w:val="0"/>
              <w:spacing w:before="28" w:line="22" w:lineRule="atLeast"/>
              <w:ind w:left="384" w:right="304" w:hanging="158"/>
              <w:rPr>
                <w:rFonts w:ascii="Times New Roman" w:hAnsi="Times New Roman" w:cs="Times New Roman"/>
                <w:sz w:val="20"/>
                <w:szCs w:val="20"/>
              </w:rPr>
            </w:pPr>
            <w:r w:rsidRPr="00407AAD">
              <w:rPr>
                <w:rFonts w:ascii="Times New Roman" w:hAnsi="Times New Roman" w:eastAsia="Times New Roman" w:cs="Times New Roman"/>
                <w:bCs/>
                <w:sz w:val="20"/>
                <w:szCs w:val="20"/>
              </w:rPr>
              <w:t>Insufficient PA financing and dependence on government appropriations</w:t>
            </w:r>
          </w:p>
          <w:p w14:paraId="0E53C998" w:rsidR="008E5A15" w:rsidRPr="00407AAD" w:rsidRDefault="008E5A15" w:rsidP="009C3E04">
            <w:pPr>
              <w:widowControl w:val="0"/>
              <w:autoSpaceDE w:val="0"/>
              <w:autoSpaceDN w:val="0"/>
              <w:adjustRightInd w:val="0"/>
              <w:spacing w:before="76" w:line="22" w:lineRule="atLeast"/>
              <w:ind w:right="166"/>
              <w:rPr>
                <w:rFonts w:ascii="Times New Roman" w:hAnsi="Times New Roman" w:cs="Times New Roman"/>
                <w:sz w:val="20"/>
                <w:szCs w:val="20"/>
              </w:rPr>
            </w:pPr>
          </w:p>
        </w:tc>
        <w:tc>
          <w:tcPr>
            <w:tcW w:w="3848" w:type="dxa"/>
          </w:tcPr>
          <w:p w14:paraId="26D2F454" w:rsidR="008E5A15" w:rsidRPr="00407AAD" w:rsidRDefault="008E5A15" w:rsidP="00CA416F">
            <w:pPr>
              <w:numPr>
                <w:ilvl w:val="0"/>
                <w:numId w:val="57"/>
              </w:numPr>
              <w:tabs>
                <w:tab w:val="left" w:pos="162"/>
              </w:tabs>
              <w:ind w:left="180" w:hanging="180"/>
              <w:rPr>
                <w:rFonts w:ascii="Times New Roman" w:hAnsi="Times New Roman" w:cs="Times New Roman"/>
                <w:sz w:val="20"/>
                <w:szCs w:val="20"/>
              </w:rPr>
            </w:pPr>
            <w:r w:rsidRPr="00407AAD">
              <w:rPr>
                <w:rFonts w:ascii="Times New Roman" w:hAnsi="Times New Roman" w:cs="Times New Roman"/>
                <w:sz w:val="20"/>
                <w:szCs w:val="20"/>
              </w:rPr>
              <w:t>Strengthened management and coordination through establishment and operation of National Parks Advisory Council for terrestrial PAs and Management Committee for marine PAs</w:t>
            </w:r>
          </w:p>
          <w:p w14:paraId="70DF40FF" w:rsidR="008E5A15" w:rsidRPr="00407AAD" w:rsidRDefault="008E5A15" w:rsidP="00CA416F">
            <w:pPr>
              <w:numPr>
                <w:ilvl w:val="0"/>
                <w:numId w:val="57"/>
              </w:numPr>
              <w:tabs>
                <w:tab w:val="left" w:pos="162"/>
              </w:tabs>
              <w:ind w:left="180" w:hanging="180"/>
              <w:rPr>
                <w:rFonts w:ascii="Times New Roman" w:hAnsi="Times New Roman" w:cs="Times New Roman"/>
                <w:b/>
                <w:sz w:val="20"/>
                <w:szCs w:val="20"/>
              </w:rPr>
            </w:pPr>
            <w:r w:rsidRPr="00407AAD">
              <w:rPr>
                <w:rFonts w:ascii="Times New Roman" w:hAnsi="Times New Roman" w:cs="Times New Roman"/>
                <w:sz w:val="20"/>
                <w:szCs w:val="20"/>
              </w:rPr>
              <w:t>Increased financing for PA management through development of PA System Business Plan</w:t>
            </w:r>
          </w:p>
          <w:p w14:paraId="17E16DF3" w:rsidR="008E5A15" w:rsidRPr="00407AAD" w:rsidRDefault="008E5A15" w:rsidP="00CA416F">
            <w:pPr>
              <w:numPr>
                <w:ilvl w:val="0"/>
                <w:numId w:val="57"/>
              </w:numPr>
              <w:tabs>
                <w:tab w:val="left" w:pos="162"/>
              </w:tabs>
              <w:ind w:left="180" w:hanging="180"/>
              <w:rPr>
                <w:rFonts w:ascii="Times New Roman" w:hAnsi="Times New Roman" w:cs="Times New Roman"/>
                <w:b/>
                <w:sz w:val="20"/>
                <w:szCs w:val="20"/>
              </w:rPr>
            </w:pPr>
            <w:r w:rsidRPr="00407AAD">
              <w:rPr>
                <w:rFonts w:ascii="Times New Roman" w:hAnsi="Times New Roman" w:cs="Times New Roman"/>
                <w:sz w:val="20"/>
                <w:szCs w:val="20"/>
              </w:rPr>
              <w:t xml:space="preserve">Strengthened protection from approved “Protected Area, Forestry and Wildlife Act” </w:t>
            </w:r>
            <w:r w:rsidRPr="00407AAD">
              <w:rPr>
                <w:rFonts w:ascii="Times New Roman" w:hAnsi="Times New Roman" w:cs="Times New Roman"/>
                <w:iCs/>
                <w:sz w:val="20"/>
                <w:szCs w:val="20"/>
              </w:rPr>
              <w:t>and associated</w:t>
            </w:r>
            <w:r w:rsidRPr="00407AAD">
              <w:rPr>
                <w:rFonts w:ascii="Times New Roman" w:hAnsi="Times New Roman" w:cs="Times New Roman"/>
                <w:sz w:val="20"/>
                <w:szCs w:val="20"/>
              </w:rPr>
              <w:t xml:space="preserve"> Statutory Rules and Orders</w:t>
            </w:r>
          </w:p>
          <w:p w14:paraId="69F4C66D" w:rsidR="008E5A15" w:rsidRPr="00407AAD" w:rsidRDefault="008E5A15" w:rsidP="00CA416F">
            <w:pPr>
              <w:numPr>
                <w:ilvl w:val="0"/>
                <w:numId w:val="57"/>
              </w:numPr>
              <w:tabs>
                <w:tab w:val="left" w:pos="162"/>
                <w:tab w:val="left" w:pos="426"/>
              </w:tabs>
              <w:ind w:left="180" w:hanging="180"/>
              <w:rPr>
                <w:rFonts w:ascii="Times New Roman" w:hAnsi="Times New Roman" w:cs="Times New Roman"/>
                <w:b/>
                <w:sz w:val="20"/>
                <w:szCs w:val="20"/>
              </w:rPr>
            </w:pPr>
            <w:r w:rsidRPr="00407AAD">
              <w:rPr>
                <w:rFonts w:ascii="Times New Roman" w:hAnsi="Times New Roman" w:cs="Times New Roman"/>
                <w:sz w:val="20"/>
                <w:szCs w:val="20"/>
              </w:rPr>
              <w:t xml:space="preserve">Expanded Protected Areas system:1 new Terrestrial PA unit and 4 new Marine PA units demarcated and legally established, with management plans and </w:t>
            </w:r>
            <w:r w:rsidRPr="00407AAD">
              <w:rPr>
                <w:rFonts w:ascii="Times New Roman" w:hAnsi="Times New Roman" w:cs="Times New Roman"/>
                <w:b/>
                <w:sz w:val="20"/>
                <w:szCs w:val="20"/>
              </w:rPr>
              <w:t>i</w:t>
            </w:r>
            <w:r w:rsidRPr="00407AAD">
              <w:rPr>
                <w:rFonts w:ascii="Times New Roman" w:hAnsi="Times New Roman" w:cs="Times New Roman"/>
                <w:sz w:val="20"/>
                <w:szCs w:val="20"/>
              </w:rPr>
              <w:t>nfrastructure in place</w:t>
            </w:r>
          </w:p>
          <w:p w14:paraId="1FBA422A" w:rsidR="008E5A15" w:rsidRPr="00407AAD" w:rsidRDefault="008E5A15" w:rsidP="00CA416F">
            <w:pPr>
              <w:numPr>
                <w:ilvl w:val="0"/>
                <w:numId w:val="57"/>
              </w:numPr>
              <w:tabs>
                <w:tab w:val="left" w:pos="162"/>
              </w:tabs>
              <w:ind w:left="180" w:hanging="180"/>
              <w:rPr>
                <w:rFonts w:ascii="Times New Roman" w:hAnsi="Times New Roman" w:cs="Times New Roman"/>
                <w:sz w:val="20"/>
                <w:szCs w:val="20"/>
                <w:u w:val="single"/>
              </w:rPr>
            </w:pPr>
            <w:r w:rsidRPr="00407AAD">
              <w:rPr>
                <w:rFonts w:ascii="Times New Roman" w:hAnsi="Times New Roman" w:cs="Times New Roman"/>
                <w:sz w:val="20"/>
                <w:szCs w:val="20"/>
              </w:rPr>
              <w:t>Increased capacity from PA staff trained in planning, accounting, biophysical monitoring, enforcement, and co-management approaches</w:t>
            </w:r>
          </w:p>
          <w:p w14:paraId="3AF182C9" w:rsidR="008E5A15" w:rsidRPr="00407AAD" w:rsidRDefault="008E5A15" w:rsidP="00CA416F">
            <w:pPr>
              <w:numPr>
                <w:ilvl w:val="0"/>
                <w:numId w:val="57"/>
              </w:numPr>
              <w:tabs>
                <w:tab w:val="left" w:pos="162"/>
              </w:tabs>
              <w:ind w:left="180" w:hanging="180"/>
              <w:rPr>
                <w:rFonts w:ascii="Times New Roman" w:hAnsi="Times New Roman" w:cs="Times New Roman"/>
                <w:sz w:val="20"/>
                <w:szCs w:val="20"/>
              </w:rPr>
            </w:pPr>
            <w:r w:rsidRPr="00407AAD">
              <w:rPr>
                <w:rFonts w:ascii="Times New Roman" w:hAnsi="Times New Roman" w:cs="Times New Roman"/>
                <w:sz w:val="20"/>
                <w:szCs w:val="20"/>
              </w:rPr>
              <w:t>Community involvement in PA co-management (e.g. coral reef restoration / propagation initiatives; seaweed aquaculture; Fish Aggregation Devices (FADs); beekeeping, tour guiding, agro-processing, sustainable use of NTFPs, and fire prevention and response)</w:t>
            </w:r>
          </w:p>
        </w:tc>
        <w:tc>
          <w:tcPr>
            <w:tcW w:w="3352" w:type="dxa"/>
          </w:tcPr>
          <w:p w14:paraId="5D33200D" w:rsidR="008E5A15" w:rsidRPr="00407AAD" w:rsidRDefault="008E5A1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BD</w:t>
            </w:r>
            <w:r w:rsidRPr="00407AAD">
              <w:rPr>
                <w:rFonts w:ascii="Times New Roman" w:hAnsi="Times New Roman" w:cs="Times New Roman"/>
                <w:sz w:val="20"/>
                <w:szCs w:val="20"/>
              </w:rPr>
              <w:t>:</w:t>
            </w:r>
          </w:p>
          <w:p w14:paraId="5542B04A" w:rsidR="008E5A15" w:rsidRPr="00407AAD" w:rsidRDefault="008E5A15" w:rsidP="00CA416F">
            <w:pPr>
              <w:widowControl w:val="0"/>
              <w:numPr>
                <w:ilvl w:val="0"/>
                <w:numId w:val="56"/>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Establishment of 1 new terrestrial PA (Mt. St. Catherine National Park) covering 1,000 ha. and 4 new marine PAs (Grand Anse, Southeast Coast, Levera, and White Island) covering 11,400 ha.</w:t>
            </w:r>
          </w:p>
          <w:p w14:paraId="473BB1DB" w:rsidR="008E5A15" w:rsidRPr="00407AAD" w:rsidRDefault="008E5A15" w:rsidP="00CA416F">
            <w:pPr>
              <w:widowControl w:val="0"/>
              <w:numPr>
                <w:ilvl w:val="0"/>
                <w:numId w:val="56"/>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Strengthened management of 4 existing terrestrial PAs (Mt. Hartman; MorneGazo; Perserverance; Grand Etang) covering 1,931 ha. and 3 existing Marine PAs (Moliniere / Beausejour; Woburn / Clarks Court Bay; Sandy Island / Oyster Bed) covering 1,780 ha.</w:t>
            </w:r>
          </w:p>
          <w:p w14:paraId="05C737D1" w:rsidR="008E5A15" w:rsidRPr="00407AAD" w:rsidRDefault="008E5A15" w:rsidP="00CA416F">
            <w:pPr>
              <w:widowControl w:val="0"/>
              <w:numPr>
                <w:ilvl w:val="0"/>
                <w:numId w:val="56"/>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 xml:space="preserve">Protection of </w:t>
            </w:r>
            <w:r w:rsidRPr="00407AAD">
              <w:rPr>
                <w:rFonts w:ascii="Times New Roman" w:hAnsi="Times New Roman" w:cs="Times New Roman"/>
                <w:sz w:val="20"/>
                <w:szCs w:val="20"/>
                <w:lang w:val="en-GB"/>
              </w:rPr>
              <w:t xml:space="preserve">ecosystem goods and services within PAs, including: shoreline maintenance, storm protection, biodiversity habitat, fish stocks, </w:t>
            </w:r>
            <w:r w:rsidRPr="00407AAD">
              <w:rPr>
                <w:rFonts w:ascii="Times New Roman" w:hAnsi="Times New Roman" w:cs="Times New Roman"/>
                <w:sz w:val="20"/>
                <w:szCs w:val="20"/>
              </w:rPr>
              <w:t>tourism attractions,</w:t>
            </w:r>
            <w:r w:rsidR="00930268">
              <w:rPr>
                <w:rFonts w:ascii="Times New Roman" w:hAnsi="Times New Roman" w:cs="Times New Roman"/>
                <w:sz w:val="20"/>
                <w:szCs w:val="20"/>
              </w:rPr>
              <w:t xml:space="preserve"> </w:t>
            </w:r>
            <w:r w:rsidRPr="00407AAD">
              <w:rPr>
                <w:rFonts w:ascii="Times New Roman" w:hAnsi="Times New Roman" w:cs="Times New Roman"/>
                <w:sz w:val="20"/>
                <w:szCs w:val="20"/>
              </w:rPr>
              <w:t>soil protection, water provision (quality and quantity), flood control, carbon sequestration</w:t>
            </w:r>
            <w:r w:rsidRPr="00407AAD">
              <w:rPr>
                <w:rFonts w:ascii="Times New Roman" w:hAnsi="Times New Roman" w:cs="Times New Roman"/>
                <w:sz w:val="20"/>
                <w:szCs w:val="20"/>
                <w:lang w:val="en-GB"/>
              </w:rPr>
              <w:t>, and increased resilience and self-repair of ecosystems from other stresses e.g. increased sea temperature</w:t>
            </w:r>
          </w:p>
          <w:p w14:paraId="15002F97" w:rsidR="008E5A15" w:rsidRPr="00407AAD" w:rsidRDefault="008E5A15" w:rsidP="00CA416F">
            <w:pPr>
              <w:widowControl w:val="0"/>
              <w:numPr>
                <w:ilvl w:val="0"/>
                <w:numId w:val="56"/>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lang w:val="en-GB"/>
              </w:rPr>
              <w:t xml:space="preserve">Protection of globally significant biodiversity, including the endangered, endemic Grenada Dove </w:t>
            </w:r>
            <w:r w:rsidRPr="00407AAD">
              <w:rPr>
                <w:rFonts w:ascii="Times New Roman" w:hAnsi="Times New Roman" w:cs="Times New Roman"/>
                <w:sz w:val="20"/>
                <w:szCs w:val="20"/>
              </w:rPr>
              <w:t>(</w:t>
            </w:r>
            <w:r w:rsidRPr="00407AAD">
              <w:rPr>
                <w:rFonts w:ascii="Times New Roman" w:hAnsi="Times New Roman" w:cs="Times New Roman"/>
                <w:i/>
                <w:sz w:val="20"/>
                <w:szCs w:val="20"/>
              </w:rPr>
              <w:t>Leptotilawellsi</w:t>
            </w:r>
            <w:r w:rsidRPr="00407AAD">
              <w:rPr>
                <w:rFonts w:ascii="Times New Roman" w:hAnsi="Times New Roman" w:cs="Times New Roman"/>
                <w:sz w:val="20"/>
                <w:szCs w:val="20"/>
              </w:rPr>
              <w:t>) and six species of marine turtles (Green, Leatherback, Loggerhead, Hawksbill, Kemps Ridley and Olive Ridley)</w:t>
            </w:r>
          </w:p>
          <w:p w14:paraId="07FC9F7C" w:rsidR="008E5A15" w:rsidRPr="00407AAD" w:rsidRDefault="008E5A15" w:rsidP="009C3E04">
            <w:pPr>
              <w:widowControl w:val="0"/>
              <w:autoSpaceDE w:val="0"/>
              <w:autoSpaceDN w:val="0"/>
              <w:adjustRightInd w:val="0"/>
              <w:rPr>
                <w:rFonts w:ascii="Times New Roman" w:hAnsi="Times New Roman" w:cs="Times New Roman"/>
                <w:b/>
                <w:sz w:val="20"/>
                <w:szCs w:val="20"/>
              </w:rPr>
            </w:pPr>
          </w:p>
          <w:p w14:paraId="7F5B409A" w:rsidR="008E5A15" w:rsidRPr="00407AAD" w:rsidRDefault="008E5A1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sz w:val="20"/>
                <w:szCs w:val="20"/>
              </w:rPr>
              <w:t>SFM:</w:t>
            </w:r>
            <w:r w:rsidRPr="00407AAD">
              <w:rPr>
                <w:rFonts w:ascii="Times New Roman" w:hAnsi="Times New Roman" w:cs="Times New Roman"/>
                <w:sz w:val="20"/>
                <w:szCs w:val="20"/>
              </w:rPr>
              <w:t xml:space="preserve"> Carbon sequestration through avoided deforestation</w:t>
            </w:r>
          </w:p>
          <w:p w14:paraId="44D4C093" w:rsidR="008E5A15" w:rsidRPr="00407AAD" w:rsidRDefault="008E5A15" w:rsidP="00CA416F">
            <w:pPr>
              <w:pStyle w:val="para"/>
              <w:numPr>
                <w:ilvl w:val="0"/>
                <w:numId w:val="55"/>
              </w:numPr>
              <w:tabs>
                <w:tab w:val="clear" w:pos="720"/>
                <w:tab w:val="left" w:pos="349"/>
              </w:tabs>
              <w:spacing w:after="0"/>
              <w:ind w:left="349" w:right="-74" w:hanging="180"/>
              <w:jc w:val="left"/>
              <w:rPr>
                <w:sz w:val="20"/>
                <w:szCs w:val="20"/>
              </w:rPr>
            </w:pPr>
            <w:r w:rsidRPr="00407AAD">
              <w:rPr>
                <w:sz w:val="20"/>
                <w:szCs w:val="20"/>
              </w:rPr>
              <w:t>Direct carbon benefits: Avoided deforestation through legally establishing Mt. St. Catherine PA and reducing pressure on forests conserves total carbon stock of 81,652.5 tC</w:t>
            </w:r>
          </w:p>
          <w:p w14:paraId="6697628A" w:rsidR="008E5A15" w:rsidRPr="00407AAD" w:rsidRDefault="008E5A15" w:rsidP="00CA416F">
            <w:pPr>
              <w:pStyle w:val="para"/>
              <w:numPr>
                <w:ilvl w:val="0"/>
                <w:numId w:val="55"/>
              </w:numPr>
              <w:tabs>
                <w:tab w:val="clear" w:pos="720"/>
                <w:tab w:val="left" w:pos="349"/>
              </w:tabs>
              <w:spacing w:after="0"/>
              <w:ind w:left="349" w:right="-74" w:hanging="180"/>
              <w:jc w:val="left"/>
              <w:rPr>
                <w:sz w:val="20"/>
                <w:szCs w:val="20"/>
              </w:rPr>
            </w:pPr>
            <w:r w:rsidRPr="00407AAD">
              <w:rPr>
                <w:sz w:val="20"/>
                <w:szCs w:val="20"/>
              </w:rPr>
              <w:t>Indirect carbon benefits: Institutional strengthening on fire management, and control of encroachment and slash and burn agriculture, avoids deforestation at all terrestrial PAs conserves total carbon stock of 322,158.3tC</w:t>
            </w:r>
          </w:p>
        </w:tc>
      </w:tr>
      <w:tr w14:paraId="25029AED" w:rsidR="00133632" w:rsidRPr="00407AAD" w:rsidTr="004B0B2C">
        <w:trPr>
          <w:trHeight w:val="146"/>
          <w:jc w:val="center"/>
        </w:trPr>
        <w:tc>
          <w:tcPr>
            <w:tcW w:w="3924" w:type="dxa"/>
            <w:shd w:val="clear" w:color="auto" w:fill="EEECE1" w:themeFill="background2"/>
          </w:tcPr>
          <w:p w14:paraId="766EE0A6" w:rsidR="00133632" w:rsidRPr="00407AAD" w:rsidRDefault="00133632" w:rsidP="009C3E04">
            <w:pPr>
              <w:widowControl w:val="0"/>
              <w:autoSpaceDE w:val="0"/>
              <w:autoSpaceDN w:val="0"/>
              <w:adjustRightInd w:val="0"/>
              <w:spacing w:before="38" w:line="239" w:lineRule="auto"/>
              <w:ind w:right="-31"/>
              <w:rPr>
                <w:rFonts w:ascii="Times New Roman" w:hAnsi="Times New Roman" w:cs="Times New Roman"/>
                <w:b/>
              </w:rPr>
            </w:pPr>
            <w:r w:rsidRPr="00407AAD">
              <w:rPr>
                <w:rFonts w:ascii="Times New Roman" w:hAnsi="Times New Roman" w:cs="Times New Roman"/>
                <w:b/>
              </w:rPr>
              <w:t>2. Production Landscapes</w:t>
            </w:r>
          </w:p>
        </w:tc>
        <w:tc>
          <w:tcPr>
            <w:tcW w:w="3848" w:type="dxa"/>
            <w:shd w:val="clear" w:color="auto" w:fill="EEECE1" w:themeFill="background2"/>
          </w:tcPr>
          <w:p w14:paraId="38EF1C9F" w:rsidR="00133632" w:rsidRPr="00407AAD" w:rsidRDefault="00133632" w:rsidP="009C3E04">
            <w:pPr>
              <w:widowControl w:val="0"/>
              <w:autoSpaceDE w:val="0"/>
              <w:autoSpaceDN w:val="0"/>
              <w:adjustRightInd w:val="0"/>
              <w:spacing w:before="76" w:line="255" w:lineRule="auto"/>
              <w:ind w:right="166"/>
              <w:rPr>
                <w:rFonts w:ascii="Times New Roman" w:hAnsi="Times New Roman" w:cs="Times New Roman"/>
              </w:rPr>
            </w:pPr>
          </w:p>
        </w:tc>
        <w:tc>
          <w:tcPr>
            <w:tcW w:w="3352" w:type="dxa"/>
            <w:shd w:val="clear" w:color="auto" w:fill="EEECE1" w:themeFill="background2"/>
          </w:tcPr>
          <w:p w14:paraId="00C17E20" w:rsidR="00133632" w:rsidRPr="00407AAD" w:rsidRDefault="00133632" w:rsidP="009C3E04">
            <w:pPr>
              <w:widowControl w:val="0"/>
              <w:autoSpaceDE w:val="0"/>
              <w:autoSpaceDN w:val="0"/>
              <w:adjustRightInd w:val="0"/>
              <w:spacing w:before="76" w:line="255" w:lineRule="auto"/>
              <w:ind w:right="166"/>
              <w:rPr>
                <w:rFonts w:ascii="Times New Roman" w:hAnsi="Times New Roman" w:cs="Times New Roman"/>
              </w:rPr>
            </w:pPr>
          </w:p>
        </w:tc>
      </w:tr>
      <w:tr w14:paraId="718863DC" w:rsidR="00E61745" w:rsidRPr="00407AAD" w:rsidTr="004B0B2C">
        <w:trPr>
          <w:trHeight w:val="146"/>
          <w:jc w:val="center"/>
        </w:trPr>
        <w:tc>
          <w:tcPr>
            <w:tcW w:w="3924" w:type="dxa"/>
          </w:tcPr>
          <w:p w14:paraId="0A271BF3"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 xml:space="preserve">Land Use planning: </w:t>
            </w:r>
            <w:r w:rsidRPr="00407AAD">
              <w:rPr>
                <w:rFonts w:ascii="Times New Roman" w:hAnsi="Times New Roman" w:cs="Times New Roman"/>
                <w:bCs/>
                <w:sz w:val="20"/>
                <w:szCs w:val="20"/>
              </w:rPr>
              <w:t>Lack of any land use planning in the watershed, and limited implementation of existing regulations, leading to:</w:t>
            </w:r>
          </w:p>
          <w:p w14:paraId="2D4803A5" w:rsidR="00E61745" w:rsidRPr="00407AAD" w:rsidRDefault="00E61745" w:rsidP="00CA416F">
            <w:pPr>
              <w:numPr>
                <w:ilvl w:val="0"/>
                <w:numId w:val="56"/>
              </w:numPr>
              <w:tabs>
                <w:tab w:val="left" w:pos="0"/>
              </w:tabs>
              <w:ind w:left="180" w:hanging="180"/>
              <w:rPr>
                <w:rFonts w:ascii="Times New Roman" w:hAnsi="Times New Roman" w:cs="Times New Roman"/>
                <w:sz w:val="20"/>
                <w:szCs w:val="20"/>
              </w:rPr>
            </w:pPr>
            <w:r w:rsidRPr="00407AAD">
              <w:rPr>
                <w:rFonts w:ascii="Times New Roman" w:hAnsi="Times New Roman" w:cs="Times New Roman"/>
                <w:sz w:val="20"/>
                <w:szCs w:val="20"/>
              </w:rPr>
              <w:t>Fragmentation and destruction of forests, primarily due to encroachment from expanding agriculture and human settlements</w:t>
            </w:r>
          </w:p>
          <w:p w14:paraId="0FA0EA16" w:rsidR="00E61745" w:rsidRPr="00407AAD" w:rsidRDefault="00E61745" w:rsidP="00CA416F">
            <w:pPr>
              <w:widowControl w:val="0"/>
              <w:numPr>
                <w:ilvl w:val="0"/>
                <w:numId w:val="56"/>
              </w:numPr>
              <w:autoSpaceDE w:val="0"/>
              <w:autoSpaceDN w:val="0"/>
              <w:adjustRightInd w:val="0"/>
              <w:ind w:left="180" w:hanging="180"/>
              <w:rPr>
                <w:rFonts w:ascii="Times New Roman" w:hAnsi="Times New Roman" w:cs="Times New Roman"/>
                <w:sz w:val="20"/>
                <w:szCs w:val="20"/>
              </w:rPr>
            </w:pPr>
            <w:r w:rsidRPr="00407AAD">
              <w:rPr>
                <w:rFonts w:ascii="Times New Roman" w:hAnsi="Times New Roman" w:cs="Times New Roman"/>
                <w:sz w:val="20"/>
                <w:szCs w:val="20"/>
              </w:rPr>
              <w:t>Degradation of coastal / marine ecosystems (coral reefs, mangroves, seagrass beds) from upstream sources of pollution (sewage outflows) and sedimentation (construction of housing)</w:t>
            </w:r>
          </w:p>
          <w:p w14:paraId="08056745" w:rsidR="00E61745" w:rsidRPr="00407AAD" w:rsidRDefault="00E61745" w:rsidP="00CA416F">
            <w:pPr>
              <w:widowControl w:val="0"/>
              <w:numPr>
                <w:ilvl w:val="0"/>
                <w:numId w:val="56"/>
              </w:numPr>
              <w:autoSpaceDE w:val="0"/>
              <w:autoSpaceDN w:val="0"/>
              <w:adjustRightInd w:val="0"/>
              <w:ind w:left="180" w:hanging="180"/>
              <w:rPr>
                <w:rFonts w:ascii="Times New Roman" w:hAnsi="Times New Roman" w:cs="Times New Roman"/>
                <w:sz w:val="20"/>
                <w:szCs w:val="20"/>
              </w:rPr>
            </w:pPr>
            <w:r w:rsidRPr="00407AAD">
              <w:rPr>
                <w:rFonts w:ascii="Times New Roman" w:hAnsi="Times New Roman" w:cs="Times New Roman"/>
                <w:sz w:val="20"/>
                <w:szCs w:val="20"/>
              </w:rPr>
              <w:t>Indiscriminate mining and quarrying activity impacts forest ecosystems</w:t>
            </w:r>
          </w:p>
        </w:tc>
        <w:tc>
          <w:tcPr>
            <w:tcW w:w="3848" w:type="dxa"/>
          </w:tcPr>
          <w:p w14:paraId="69F84F1A" w:rsidR="00E61745" w:rsidRPr="00407AAD" w:rsidRDefault="00E61745" w:rsidP="00CA416F">
            <w:pPr>
              <w:pStyle w:val="BodyTextIndent3"/>
              <w:numPr>
                <w:ilvl w:val="0"/>
                <w:numId w:val="56"/>
              </w:numPr>
              <w:ind w:left="162" w:hanging="180"/>
              <w:rPr>
                <w:sz w:val="20"/>
                <w:szCs w:val="20"/>
              </w:rPr>
            </w:pPr>
            <w:r w:rsidRPr="00407AAD">
              <w:rPr>
                <w:sz w:val="20"/>
                <w:szCs w:val="20"/>
              </w:rPr>
              <w:t>Regulations developed and implemented to prevent spread of agriculture and housing, including protection of high priority BD habitat and areas prone to land degradation</w:t>
            </w:r>
          </w:p>
          <w:p w14:paraId="1C33F1AC" w:rsidR="00E61745" w:rsidRPr="00407AAD" w:rsidRDefault="00E61745" w:rsidP="00CA416F">
            <w:pPr>
              <w:pStyle w:val="BodyTextIndent3"/>
              <w:numPr>
                <w:ilvl w:val="0"/>
                <w:numId w:val="56"/>
              </w:numPr>
              <w:ind w:left="162" w:hanging="180"/>
              <w:rPr>
                <w:sz w:val="20"/>
                <w:szCs w:val="20"/>
              </w:rPr>
            </w:pPr>
            <w:r w:rsidRPr="00407AAD">
              <w:rPr>
                <w:sz w:val="20"/>
                <w:szCs w:val="20"/>
              </w:rPr>
              <w:t>Inter-sectoral Committee for the Beausejour Watershed established and implementing watershed management plan with integrated BD-LD approaches</w:t>
            </w:r>
          </w:p>
          <w:p w14:paraId="3BEE9E0A" w:rsidR="00E61745" w:rsidRPr="00407AAD" w:rsidRDefault="00E61745" w:rsidP="00CA416F">
            <w:pPr>
              <w:pStyle w:val="BodyTextIndent3"/>
              <w:numPr>
                <w:ilvl w:val="0"/>
                <w:numId w:val="56"/>
              </w:numPr>
              <w:ind w:left="162" w:hanging="180"/>
              <w:rPr>
                <w:sz w:val="20"/>
                <w:szCs w:val="20"/>
              </w:rPr>
            </w:pPr>
            <w:r w:rsidRPr="00407AAD">
              <w:rPr>
                <w:sz w:val="20"/>
                <w:szCs w:val="20"/>
              </w:rPr>
              <w:t>Water quality / quantity monitoring systems, with associated tools to enhance coordination and information access, in place to monitor sediment and pollution impacts on downstream MPAs</w:t>
            </w:r>
          </w:p>
          <w:p w14:paraId="74FA23B2" w:rsidR="00E61745" w:rsidRPr="00407AAD" w:rsidRDefault="00E61745" w:rsidP="00CA416F">
            <w:pPr>
              <w:pStyle w:val="BodyTextIndent3"/>
              <w:numPr>
                <w:ilvl w:val="0"/>
                <w:numId w:val="56"/>
              </w:numPr>
              <w:ind w:left="162" w:hanging="180"/>
              <w:rPr>
                <w:sz w:val="20"/>
                <w:szCs w:val="20"/>
              </w:rPr>
            </w:pPr>
            <w:r w:rsidRPr="00407AAD">
              <w:rPr>
                <w:sz w:val="20"/>
                <w:szCs w:val="20"/>
              </w:rPr>
              <w:t>Selection of appropriate lands / land use types and practices through assessment processes</w:t>
            </w:r>
          </w:p>
        </w:tc>
        <w:tc>
          <w:tcPr>
            <w:tcW w:w="3352" w:type="dxa"/>
          </w:tcPr>
          <w:p w14:paraId="2CB3CD0A"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LD</w:t>
            </w:r>
            <w:r w:rsidRPr="00407AAD">
              <w:rPr>
                <w:rFonts w:ascii="Times New Roman" w:hAnsi="Times New Roman" w:cs="Times New Roman"/>
                <w:sz w:val="20"/>
                <w:szCs w:val="20"/>
              </w:rPr>
              <w:t xml:space="preserve">: </w:t>
            </w:r>
          </w:p>
          <w:p w14:paraId="7736BE50"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Direct benefits over the medium up-scaling of demonstration SLM practices, reduces soil erosion, pollution and forest clearance covering 6 communities with a total area of 1,409 ha.</w:t>
            </w:r>
          </w:p>
          <w:p w14:paraId="3961DC31"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Indirect benefits over the medium to long term from reduced pressures from conflicting land use and replication of SLM across the entire Beausejour Watershed covering 1,547 ha.</w:t>
            </w:r>
          </w:p>
          <w:p w14:paraId="672282CF" w:rsidR="00E61745" w:rsidRPr="00407AAD" w:rsidRDefault="00E61745" w:rsidP="009C3E04">
            <w:pPr>
              <w:widowControl w:val="0"/>
              <w:autoSpaceDE w:val="0"/>
              <w:autoSpaceDN w:val="0"/>
              <w:adjustRightInd w:val="0"/>
              <w:rPr>
                <w:rFonts w:ascii="Times New Roman" w:hAnsi="Times New Roman" w:cs="Times New Roman"/>
                <w:sz w:val="20"/>
                <w:szCs w:val="20"/>
              </w:rPr>
            </w:pPr>
          </w:p>
        </w:tc>
      </w:tr>
      <w:tr w14:paraId="4C8D2300" w:rsidR="00E61745" w:rsidRPr="00407AAD" w:rsidTr="004B0B2C">
        <w:trPr>
          <w:trHeight w:val="5399"/>
          <w:jc w:val="center"/>
        </w:trPr>
        <w:tc>
          <w:tcPr>
            <w:tcW w:w="3924" w:type="dxa"/>
          </w:tcPr>
          <w:p w14:paraId="76FB24C3" w:rsidR="00E61745" w:rsidRPr="00407AAD" w:rsidRDefault="00E61745" w:rsidP="009C3E04">
            <w:pPr>
              <w:widowControl w:val="0"/>
              <w:autoSpaceDE w:val="0"/>
              <w:autoSpaceDN w:val="0"/>
              <w:adjustRightInd w:val="0"/>
              <w:rPr>
                <w:rFonts w:ascii="Times New Roman" w:hAnsi="Times New Roman" w:cs="Times New Roman"/>
                <w:b/>
                <w:bCs/>
                <w:sz w:val="20"/>
                <w:szCs w:val="20"/>
              </w:rPr>
            </w:pPr>
            <w:r w:rsidRPr="00407AAD">
              <w:rPr>
                <w:rFonts w:ascii="Times New Roman" w:hAnsi="Times New Roman" w:cs="Times New Roman"/>
                <w:b/>
                <w:bCs/>
                <w:sz w:val="20"/>
                <w:szCs w:val="20"/>
              </w:rPr>
              <w:t>Rangeland management:</w:t>
            </w:r>
          </w:p>
          <w:p w14:paraId="02E4D998" w:rsidR="00E61745" w:rsidRPr="00407AAD" w:rsidRDefault="00E61745" w:rsidP="00CA416F">
            <w:pPr>
              <w:numPr>
                <w:ilvl w:val="0"/>
                <w:numId w:val="60"/>
              </w:numPr>
              <w:tabs>
                <w:tab w:val="left" w:pos="0"/>
              </w:tabs>
              <w:ind w:left="180" w:hanging="180"/>
              <w:rPr>
                <w:rFonts w:ascii="Times New Roman" w:hAnsi="Times New Roman" w:cs="Times New Roman"/>
                <w:sz w:val="20"/>
                <w:szCs w:val="20"/>
              </w:rPr>
            </w:pPr>
            <w:r w:rsidRPr="00407AAD">
              <w:rPr>
                <w:rFonts w:ascii="Times New Roman" w:hAnsi="Times New Roman" w:cs="Times New Roman"/>
                <w:sz w:val="20"/>
                <w:szCs w:val="20"/>
              </w:rPr>
              <w:t>Uncontrolled cattle grazing, particularly along rivers and gullies, causes pollution and sedimentation of coastal / marine ecosystems (coral reefs, mangroves, seagrass beds)</w:t>
            </w:r>
          </w:p>
          <w:p w14:paraId="2CE52F47" w:rsidR="00E61745" w:rsidRPr="00407AAD" w:rsidRDefault="00E61745" w:rsidP="009C3E04">
            <w:pPr>
              <w:tabs>
                <w:tab w:val="left" w:pos="0"/>
              </w:tabs>
              <w:rPr>
                <w:rFonts w:ascii="Times New Roman" w:hAnsi="Times New Roman" w:cs="Times New Roman"/>
                <w:sz w:val="20"/>
                <w:szCs w:val="20"/>
              </w:rPr>
            </w:pPr>
          </w:p>
          <w:p w14:paraId="7B431CC1" w:rsidR="00E61745" w:rsidRPr="00407AAD" w:rsidRDefault="00E61745" w:rsidP="009C3E04">
            <w:pPr>
              <w:tabs>
                <w:tab w:val="left" w:pos="0"/>
              </w:tabs>
              <w:rPr>
                <w:rFonts w:ascii="Times New Roman" w:hAnsi="Times New Roman" w:cs="Times New Roman"/>
                <w:sz w:val="20"/>
                <w:szCs w:val="20"/>
              </w:rPr>
            </w:pPr>
          </w:p>
        </w:tc>
        <w:tc>
          <w:tcPr>
            <w:tcW w:w="3848" w:type="dxa"/>
          </w:tcPr>
          <w:p w14:paraId="1C0FCEF0" w:rsidR="00E61745" w:rsidRPr="00407AAD" w:rsidRDefault="00E61745" w:rsidP="00CA416F">
            <w:pPr>
              <w:pStyle w:val="ListParagraph"/>
              <w:numPr>
                <w:ilvl w:val="0"/>
                <w:numId w:val="60"/>
              </w:numPr>
              <w:autoSpaceDE w:val="0"/>
              <w:autoSpaceDN w:val="0"/>
              <w:adjustRightInd w:val="0"/>
              <w:ind w:left="180" w:hanging="180"/>
              <w:rPr>
                <w:rFonts w:ascii="Times New Roman" w:hAnsi="Times New Roman" w:cs="Times New Roman"/>
                <w:sz w:val="20"/>
                <w:szCs w:val="20"/>
              </w:rPr>
            </w:pPr>
            <w:r w:rsidRPr="00407AAD">
              <w:rPr>
                <w:rFonts w:ascii="Times New Roman" w:hAnsi="Times New Roman" w:cs="Times New Roman"/>
                <w:sz w:val="20"/>
                <w:szCs w:val="20"/>
                <w:lang w:val="en-GB"/>
              </w:rPr>
              <w:t>Fencing</w:t>
            </w:r>
          </w:p>
          <w:p w14:paraId="169D7227" w:rsidR="00E61745" w:rsidRPr="00407AAD" w:rsidRDefault="00E61745" w:rsidP="00CA416F">
            <w:pPr>
              <w:pStyle w:val="ListParagraph"/>
              <w:numPr>
                <w:ilvl w:val="0"/>
                <w:numId w:val="60"/>
              </w:numPr>
              <w:autoSpaceDE w:val="0"/>
              <w:autoSpaceDN w:val="0"/>
              <w:adjustRightInd w:val="0"/>
              <w:ind w:left="180" w:hanging="180"/>
              <w:rPr>
                <w:rFonts w:ascii="Times New Roman" w:hAnsi="Times New Roman" w:cs="Times New Roman"/>
                <w:sz w:val="20"/>
                <w:szCs w:val="20"/>
              </w:rPr>
            </w:pPr>
            <w:r w:rsidRPr="00407AAD">
              <w:rPr>
                <w:rFonts w:ascii="Times New Roman" w:hAnsi="Times New Roman" w:cs="Times New Roman"/>
                <w:sz w:val="20"/>
                <w:szCs w:val="20"/>
                <w:lang w:val="en-GB"/>
              </w:rPr>
              <w:t>Assessment of grazing animal capacity in relation to LD risk and vulnerabilities near rivers</w:t>
            </w:r>
          </w:p>
          <w:p w14:paraId="4957409A" w:rsidR="00E61745" w:rsidRPr="00407AAD" w:rsidRDefault="00E61745" w:rsidP="00CA416F">
            <w:pPr>
              <w:pStyle w:val="ListParagraph"/>
              <w:numPr>
                <w:ilvl w:val="0"/>
                <w:numId w:val="60"/>
              </w:numPr>
              <w:autoSpaceDE w:val="0"/>
              <w:autoSpaceDN w:val="0"/>
              <w:adjustRightInd w:val="0"/>
              <w:ind w:left="180" w:hanging="180"/>
              <w:rPr>
                <w:rFonts w:ascii="Times New Roman" w:hAnsi="Times New Roman" w:cs="Times New Roman"/>
                <w:sz w:val="20"/>
                <w:szCs w:val="20"/>
              </w:rPr>
            </w:pPr>
            <w:r w:rsidRPr="00407AAD">
              <w:rPr>
                <w:rFonts w:ascii="Times New Roman" w:hAnsi="Times New Roman" w:cs="Times New Roman"/>
                <w:sz w:val="20"/>
                <w:szCs w:val="20"/>
              </w:rPr>
              <w:t>Enforcement of regulations on grazing</w:t>
            </w:r>
          </w:p>
        </w:tc>
        <w:tc>
          <w:tcPr>
            <w:tcW w:w="3352" w:type="dxa"/>
          </w:tcPr>
          <w:p w14:paraId="713DD172"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LD</w:t>
            </w:r>
            <w:r w:rsidRPr="00407AAD">
              <w:rPr>
                <w:rFonts w:ascii="Times New Roman" w:hAnsi="Times New Roman" w:cs="Times New Roman"/>
                <w:sz w:val="20"/>
                <w:szCs w:val="20"/>
              </w:rPr>
              <w:t>:</w:t>
            </w:r>
          </w:p>
          <w:p w14:paraId="7087C613"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Direct benefits through reduced sedimentation and pollution in riparian zones covering approx. 210 ha. (to be confirmed during project preparation)</w:t>
            </w:r>
          </w:p>
          <w:p w14:paraId="198F21C9"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Indirect benefits over the medium to long term through replication of grazing management across the entire Beausejour Watershed covering 1,547 ha.</w:t>
            </w:r>
          </w:p>
          <w:p w14:paraId="3B137A29" w:rsidR="00E61745" w:rsidRPr="00407AAD" w:rsidRDefault="00E61745" w:rsidP="009C3E04">
            <w:pPr>
              <w:widowControl w:val="0"/>
              <w:autoSpaceDE w:val="0"/>
              <w:autoSpaceDN w:val="0"/>
              <w:adjustRightInd w:val="0"/>
              <w:rPr>
                <w:rFonts w:ascii="Times New Roman" w:hAnsi="Times New Roman" w:cs="Times New Roman"/>
                <w:b/>
                <w:bCs/>
                <w:sz w:val="20"/>
                <w:szCs w:val="20"/>
              </w:rPr>
            </w:pPr>
            <w:r w:rsidRPr="00407AAD">
              <w:rPr>
                <w:rFonts w:ascii="Times New Roman" w:hAnsi="Times New Roman" w:cs="Times New Roman"/>
                <w:b/>
                <w:bCs/>
                <w:sz w:val="20"/>
                <w:szCs w:val="20"/>
              </w:rPr>
              <w:t xml:space="preserve">BD: </w:t>
            </w:r>
          </w:p>
          <w:p w14:paraId="1081BB77" w:rsidR="00E61745" w:rsidRPr="00407AAD" w:rsidRDefault="00E61745" w:rsidP="00CA416F">
            <w:pPr>
              <w:widowControl w:val="0"/>
              <w:numPr>
                <w:ilvl w:val="0"/>
                <w:numId w:val="59"/>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bCs/>
                <w:sz w:val="20"/>
                <w:szCs w:val="20"/>
              </w:rPr>
              <w:t>Reduced sedimentation and nutrient loading impacts on coral reefs, mangroves and seagrass beds in two downstream MPAs (Moliniere / Beausejour and Grande Anse) covering a total of 1,800 ha., with benefits for marine biodiversity (as listed above)</w:t>
            </w:r>
          </w:p>
          <w:p w14:paraId="2E0EA0D5" w:rsidR="00E61745" w:rsidRPr="00407AAD" w:rsidRDefault="00E61745" w:rsidP="00CA416F">
            <w:pPr>
              <w:widowControl w:val="0"/>
              <w:numPr>
                <w:ilvl w:val="0"/>
                <w:numId w:val="59"/>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Reduced grazing pressure on Annandale Forest Reserve covering 240 ha.</w:t>
            </w:r>
          </w:p>
        </w:tc>
      </w:tr>
      <w:tr w14:paraId="40A9619E" w:rsidR="00E61745" w:rsidRPr="00407AAD" w:rsidTr="004B0B2C">
        <w:trPr>
          <w:trHeight w:val="1079"/>
          <w:jc w:val="center"/>
        </w:trPr>
        <w:tc>
          <w:tcPr>
            <w:tcW w:w="3924" w:type="dxa"/>
          </w:tcPr>
          <w:p w14:paraId="2DE8E755"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Agricultural Land management:</w:t>
            </w:r>
          </w:p>
          <w:p w14:paraId="2395C68D" w:rsidR="00E61745" w:rsidRPr="00407AAD" w:rsidRDefault="00E61745" w:rsidP="00CA416F">
            <w:pPr>
              <w:numPr>
                <w:ilvl w:val="0"/>
                <w:numId w:val="62"/>
              </w:numPr>
              <w:tabs>
                <w:tab w:val="left" w:pos="0"/>
              </w:tabs>
              <w:ind w:left="180" w:hanging="180"/>
              <w:rPr>
                <w:rFonts w:ascii="Times New Roman" w:hAnsi="Times New Roman" w:cs="Times New Roman"/>
                <w:sz w:val="20"/>
                <w:szCs w:val="20"/>
              </w:rPr>
            </w:pPr>
            <w:r w:rsidRPr="00407AAD">
              <w:rPr>
                <w:rFonts w:ascii="Times New Roman" w:hAnsi="Times New Roman" w:cs="Times New Roman"/>
                <w:sz w:val="20"/>
                <w:szCs w:val="20"/>
              </w:rPr>
              <w:t>Agricultural practices (detailed below) in upstream areas leading to degradation of coastal / marine ecosystems (coral reefs, mangroves, seagrass beds), exacerbated by climate change impacts (increased hurricane frequency &amp;intensity). These include:</w:t>
            </w:r>
          </w:p>
          <w:p w14:paraId="7FBFECAA"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rPr>
              <w:t>Sedimentation from clearing of steep slopes for agriculture, the removal of riparian buffers for farming close to riverbanks, and the removal of trees on roadsides</w:t>
            </w:r>
          </w:p>
          <w:p w14:paraId="121F118B"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rPr>
              <w:t>Fertilizer use contributing to pollutant loading in runoff following rains; use of harmful chemicals and pesticides that negatively impact fresh and coastal waters</w:t>
            </w:r>
          </w:p>
          <w:p w14:paraId="7E7109E9"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rPr>
              <w:t>Burning of agricultural waste and setting of fires to clear land threaten forest ecosystems, including the edges of protected areas</w:t>
            </w:r>
          </w:p>
        </w:tc>
        <w:tc>
          <w:tcPr>
            <w:tcW w:w="3848" w:type="dxa"/>
          </w:tcPr>
          <w:p w14:paraId="757B27E5" w:rsidR="00E61745" w:rsidRPr="00407AAD" w:rsidRDefault="00E61745" w:rsidP="00CA416F">
            <w:pPr>
              <w:pStyle w:val="ColorfulList-Accent12"/>
              <w:numPr>
                <w:ilvl w:val="0"/>
                <w:numId w:val="61"/>
              </w:numPr>
              <w:ind w:left="162" w:hanging="180"/>
              <w:contextualSpacing/>
              <w:rPr>
                <w:sz w:val="20"/>
                <w:szCs w:val="20"/>
              </w:rPr>
            </w:pPr>
            <w:r w:rsidRPr="00407AAD">
              <w:rPr>
                <w:sz w:val="20"/>
                <w:szCs w:val="20"/>
              </w:rPr>
              <w:t xml:space="preserve">Sustainable agricultural production practices, including: </w:t>
            </w:r>
          </w:p>
          <w:p w14:paraId="000A23B9" w:rsidR="00E61745" w:rsidRPr="00407AAD" w:rsidRDefault="00E61745" w:rsidP="00CA416F">
            <w:pPr>
              <w:pStyle w:val="ColorfulList-Accent12"/>
              <w:numPr>
                <w:ilvl w:val="0"/>
                <w:numId w:val="63"/>
              </w:numPr>
              <w:contextualSpacing/>
              <w:rPr>
                <w:sz w:val="20"/>
                <w:szCs w:val="20"/>
              </w:rPr>
            </w:pPr>
            <w:r w:rsidRPr="00407AAD">
              <w:rPr>
                <w:sz w:val="20"/>
                <w:szCs w:val="20"/>
                <w:lang w:val="en-GB"/>
              </w:rPr>
              <w:t>Soil conservation practices (u</w:t>
            </w:r>
            <w:r w:rsidRPr="00407AAD">
              <w:rPr>
                <w:sz w:val="20"/>
                <w:szCs w:val="20"/>
              </w:rPr>
              <w:t>se of vegetative strips / cover crops; contour farming; terracing; minimum soil tillage)</w:t>
            </w:r>
          </w:p>
          <w:p w14:paraId="042CADA5" w:rsidR="00E61745" w:rsidRPr="00407AAD" w:rsidRDefault="00E61745" w:rsidP="00CA416F">
            <w:pPr>
              <w:pStyle w:val="ColorfulList-Accent12"/>
              <w:numPr>
                <w:ilvl w:val="0"/>
                <w:numId w:val="63"/>
              </w:numPr>
              <w:contextualSpacing/>
              <w:rPr>
                <w:sz w:val="20"/>
                <w:szCs w:val="20"/>
              </w:rPr>
            </w:pPr>
            <w:r w:rsidRPr="00407AAD">
              <w:rPr>
                <w:sz w:val="20"/>
                <w:szCs w:val="20"/>
              </w:rPr>
              <w:t xml:space="preserve">Water management practices (rain water harvesting; improve drainage and storm water control; </w:t>
            </w:r>
            <w:r w:rsidRPr="00407AAD">
              <w:rPr>
                <w:sz w:val="20"/>
                <w:szCs w:val="20"/>
                <w:lang w:val="en-GB"/>
              </w:rPr>
              <w:t>small dam construction for water management</w:t>
            </w:r>
            <w:r w:rsidRPr="00407AAD">
              <w:rPr>
                <w:sz w:val="20"/>
                <w:szCs w:val="20"/>
              </w:rPr>
              <w:t>)</w:t>
            </w:r>
          </w:p>
          <w:p w14:paraId="798AF0AE" w:rsidR="00E61745" w:rsidRPr="00407AAD" w:rsidRDefault="00E61745" w:rsidP="00CA416F">
            <w:pPr>
              <w:pStyle w:val="ColorfulList-Accent12"/>
              <w:numPr>
                <w:ilvl w:val="0"/>
                <w:numId w:val="63"/>
              </w:numPr>
              <w:contextualSpacing/>
              <w:rPr>
                <w:sz w:val="20"/>
                <w:szCs w:val="20"/>
              </w:rPr>
            </w:pPr>
            <w:r w:rsidRPr="00407AAD">
              <w:rPr>
                <w:sz w:val="20"/>
                <w:szCs w:val="20"/>
              </w:rPr>
              <w:t>Sustainable soil enrichment practices (increased use of organic fertilizer from livestock pens; reduced use of inorganic fertilizers)</w:t>
            </w:r>
          </w:p>
          <w:p w14:paraId="613E56E9" w:rsidR="00E61745" w:rsidRPr="00407AAD" w:rsidRDefault="00E61745" w:rsidP="00CA416F">
            <w:pPr>
              <w:pStyle w:val="ColorfulList-Accent12"/>
              <w:numPr>
                <w:ilvl w:val="0"/>
                <w:numId w:val="63"/>
              </w:numPr>
              <w:contextualSpacing/>
              <w:rPr>
                <w:sz w:val="20"/>
                <w:szCs w:val="20"/>
              </w:rPr>
            </w:pPr>
            <w:r w:rsidRPr="00407AAD">
              <w:rPr>
                <w:sz w:val="20"/>
                <w:szCs w:val="20"/>
              </w:rPr>
              <w:t>Ap</w:t>
            </w:r>
            <w:r w:rsidRPr="00407AAD">
              <w:rPr>
                <w:sz w:val="20"/>
                <w:szCs w:val="20"/>
                <w:lang w:val="en-GB"/>
              </w:rPr>
              <w:t>iculture to increase community incomes and provide benefits to other commercial tree species (e.g. Citrus, Mangoes and Coconut Palm) by enhancing pollination, including planting of tree species (e.g. Leucaena and Gloryceda) that support bee cultivation and also help to stabilize soils</w:t>
            </w:r>
          </w:p>
          <w:p w14:paraId="0FDC06AE" w:rsidR="00E61745" w:rsidRPr="00407AAD" w:rsidRDefault="00E61745" w:rsidP="00CA416F">
            <w:pPr>
              <w:pStyle w:val="BodyTextIndent3"/>
              <w:numPr>
                <w:ilvl w:val="0"/>
                <w:numId w:val="61"/>
              </w:numPr>
              <w:ind w:left="162" w:hanging="180"/>
              <w:rPr>
                <w:sz w:val="20"/>
                <w:szCs w:val="20"/>
              </w:rPr>
            </w:pPr>
            <w:r w:rsidRPr="00407AAD">
              <w:rPr>
                <w:sz w:val="20"/>
                <w:szCs w:val="20"/>
              </w:rPr>
              <w:t>Capacity building for farmers and farmer organizations, product development for export compliance, and marketing assistance, to support sustainable agricultural production</w:t>
            </w:r>
          </w:p>
        </w:tc>
        <w:tc>
          <w:tcPr>
            <w:tcW w:w="3352" w:type="dxa"/>
          </w:tcPr>
          <w:p w14:paraId="7FFC7752"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bCs/>
                <w:sz w:val="20"/>
                <w:szCs w:val="20"/>
              </w:rPr>
              <w:t>LD</w:t>
            </w:r>
            <w:r w:rsidRPr="00407AAD">
              <w:rPr>
                <w:rFonts w:ascii="Times New Roman" w:hAnsi="Times New Roman" w:cs="Times New Roman"/>
                <w:sz w:val="20"/>
                <w:szCs w:val="20"/>
              </w:rPr>
              <w:t xml:space="preserve">: </w:t>
            </w:r>
          </w:p>
          <w:p w14:paraId="0386507E"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Direct benefits through reduced soil erosion, pollution and threat of fire, and increased water quality and flow covering a total of 132.4 ha.</w:t>
            </w:r>
          </w:p>
          <w:p w14:paraId="7F02E4BE"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Direct benefits through re-vegetation (agro-forestry) covering an area of 150 ha.</w:t>
            </w:r>
          </w:p>
          <w:p w14:paraId="6838FC5A" w:rsidR="00E61745" w:rsidRPr="00407AAD" w:rsidRDefault="00E61745" w:rsidP="00CA416F">
            <w:pPr>
              <w:widowControl w:val="0"/>
              <w:numPr>
                <w:ilvl w:val="0"/>
                <w:numId w:val="58"/>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sz w:val="20"/>
                <w:szCs w:val="20"/>
              </w:rPr>
              <w:t>Indirect benefits over the medium to long term through replication across the entire Beausejour Watershed covering 1,547 ha.</w:t>
            </w:r>
          </w:p>
          <w:p w14:paraId="288EE340" w:rsidR="00E61745" w:rsidRPr="00407AAD" w:rsidRDefault="00E61745" w:rsidP="009C3E04">
            <w:pPr>
              <w:widowControl w:val="0"/>
              <w:autoSpaceDE w:val="0"/>
              <w:autoSpaceDN w:val="0"/>
              <w:adjustRightInd w:val="0"/>
              <w:rPr>
                <w:rFonts w:ascii="Times New Roman" w:hAnsi="Times New Roman" w:cs="Times New Roman"/>
                <w:b/>
                <w:bCs/>
                <w:sz w:val="20"/>
                <w:szCs w:val="20"/>
              </w:rPr>
            </w:pPr>
            <w:r w:rsidRPr="00407AAD">
              <w:rPr>
                <w:rFonts w:ascii="Times New Roman" w:hAnsi="Times New Roman" w:cs="Times New Roman"/>
                <w:b/>
                <w:bCs/>
                <w:sz w:val="20"/>
                <w:szCs w:val="20"/>
              </w:rPr>
              <w:t xml:space="preserve">BD: </w:t>
            </w:r>
          </w:p>
          <w:p w14:paraId="5004F38A" w:rsidR="00E61745" w:rsidRPr="00407AAD" w:rsidRDefault="00E61745" w:rsidP="00CA416F">
            <w:pPr>
              <w:widowControl w:val="0"/>
              <w:numPr>
                <w:ilvl w:val="0"/>
                <w:numId w:val="59"/>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bCs/>
                <w:sz w:val="20"/>
                <w:szCs w:val="20"/>
              </w:rPr>
              <w:t>Reduced sedimentation, pesticide runoff and nutrient loading impacts coral reefs, mangroves, and seagrass beds on two downstream MPAs (Moliniere / Beausejour and Grande Anse) covering a total of 1,800 ha., with benefits for marine biodiversity (as listed above)</w:t>
            </w:r>
          </w:p>
          <w:p w14:paraId="4C655B9F" w:rsidR="00E61745" w:rsidRPr="00407AAD" w:rsidRDefault="00E61745" w:rsidP="00CA416F">
            <w:pPr>
              <w:widowControl w:val="0"/>
              <w:numPr>
                <w:ilvl w:val="0"/>
                <w:numId w:val="59"/>
              </w:numPr>
              <w:autoSpaceDE w:val="0"/>
              <w:autoSpaceDN w:val="0"/>
              <w:adjustRightInd w:val="0"/>
              <w:ind w:left="252" w:hanging="180"/>
              <w:rPr>
                <w:rFonts w:ascii="Times New Roman" w:hAnsi="Times New Roman" w:cs="Times New Roman"/>
                <w:sz w:val="20"/>
                <w:szCs w:val="20"/>
              </w:rPr>
            </w:pPr>
            <w:r w:rsidRPr="00407AAD">
              <w:rPr>
                <w:rFonts w:ascii="Times New Roman" w:hAnsi="Times New Roman" w:cs="Times New Roman"/>
                <w:bCs/>
                <w:sz w:val="20"/>
                <w:szCs w:val="20"/>
              </w:rPr>
              <w:t>Reduced agricultural expansion into Annandale Forest Reserve covering 240 ha.</w:t>
            </w:r>
          </w:p>
          <w:p w14:paraId="2DDDACC7" w:rsidR="00E61745" w:rsidRPr="00407AAD" w:rsidRDefault="00E61745" w:rsidP="009C3E04">
            <w:pPr>
              <w:widowControl w:val="0"/>
              <w:autoSpaceDE w:val="0"/>
              <w:autoSpaceDN w:val="0"/>
              <w:adjustRightInd w:val="0"/>
              <w:ind w:left="120" w:hanging="240"/>
              <w:rPr>
                <w:rFonts w:ascii="Times New Roman" w:hAnsi="Times New Roman" w:cs="Times New Roman"/>
                <w:sz w:val="20"/>
                <w:szCs w:val="20"/>
              </w:rPr>
            </w:pPr>
          </w:p>
        </w:tc>
      </w:tr>
      <w:tr w14:paraId="3B6F7C7B" w:rsidR="00E61745" w:rsidRPr="00DC4545" w:rsidTr="004B0B2C">
        <w:trPr>
          <w:trHeight w:val="2510"/>
          <w:jc w:val="center"/>
        </w:trPr>
        <w:tc>
          <w:tcPr>
            <w:tcW w:w="3924" w:type="dxa"/>
          </w:tcPr>
          <w:p w14:paraId="08601BD7" w:rsidR="00E61745" w:rsidRPr="00407AAD" w:rsidRDefault="00E61745" w:rsidP="009C3E04">
            <w:pPr>
              <w:widowControl w:val="0"/>
              <w:autoSpaceDE w:val="0"/>
              <w:autoSpaceDN w:val="0"/>
              <w:adjustRightInd w:val="0"/>
              <w:rPr>
                <w:rFonts w:ascii="Times New Roman" w:hAnsi="Times New Roman" w:cs="Times New Roman"/>
                <w:b/>
                <w:sz w:val="20"/>
                <w:szCs w:val="20"/>
              </w:rPr>
            </w:pPr>
            <w:r w:rsidRPr="00407AAD">
              <w:rPr>
                <w:rFonts w:ascii="Times New Roman" w:hAnsi="Times New Roman" w:cs="Times New Roman"/>
                <w:b/>
                <w:sz w:val="20"/>
                <w:szCs w:val="20"/>
              </w:rPr>
              <w:t>Sustainable Forestry Management:</w:t>
            </w:r>
          </w:p>
          <w:p w14:paraId="41EFE6FB" w:rsidR="00E61745" w:rsidRPr="00407AAD" w:rsidRDefault="00E61745" w:rsidP="00CA416F">
            <w:pPr>
              <w:pStyle w:val="Footer"/>
              <w:numPr>
                <w:ilvl w:val="0"/>
                <w:numId w:val="65"/>
              </w:numPr>
              <w:tabs>
                <w:tab w:val="clear" w:pos="4680"/>
                <w:tab w:val="clear" w:pos="9360"/>
              </w:tabs>
              <w:ind w:left="252" w:hanging="180"/>
              <w:rPr>
                <w:rFonts w:ascii="Times New Roman" w:hAnsi="Times New Roman" w:cs="Times New Roman"/>
                <w:sz w:val="20"/>
                <w:szCs w:val="20"/>
              </w:rPr>
            </w:pPr>
            <w:r w:rsidRPr="00407AAD">
              <w:rPr>
                <w:rFonts w:ascii="Times New Roman" w:hAnsi="Times New Roman" w:cs="Times New Roman"/>
                <w:sz w:val="20"/>
                <w:szCs w:val="20"/>
              </w:rPr>
              <w:t>Invasive species (bamboo) is encroaching into native forests</w:t>
            </w:r>
          </w:p>
          <w:p w14:paraId="39B23343" w:rsidR="00E61745" w:rsidRPr="00407AAD" w:rsidRDefault="00E61745" w:rsidP="00CA416F">
            <w:pPr>
              <w:pStyle w:val="Footer"/>
              <w:numPr>
                <w:ilvl w:val="0"/>
                <w:numId w:val="65"/>
              </w:numPr>
              <w:tabs>
                <w:tab w:val="clear" w:pos="4680"/>
                <w:tab w:val="clear" w:pos="9360"/>
              </w:tabs>
              <w:ind w:left="252" w:hanging="180"/>
              <w:rPr>
                <w:rFonts w:ascii="Times New Roman" w:hAnsi="Times New Roman" w:cs="Times New Roman"/>
                <w:sz w:val="20"/>
                <w:szCs w:val="20"/>
              </w:rPr>
            </w:pPr>
            <w:r w:rsidRPr="00407AAD">
              <w:rPr>
                <w:rFonts w:ascii="Times New Roman" w:hAnsi="Times New Roman" w:cs="Times New Roman"/>
                <w:sz w:val="20"/>
                <w:szCs w:val="20"/>
              </w:rPr>
              <w:t>Severe fire impacts (in 2009-2010, 30% of the</w:t>
            </w:r>
            <w:r w:rsidR="00930268">
              <w:rPr>
                <w:rFonts w:ascii="Times New Roman" w:hAnsi="Times New Roman" w:cs="Times New Roman"/>
                <w:sz w:val="20"/>
                <w:szCs w:val="20"/>
              </w:rPr>
              <w:t xml:space="preserve"> </w:t>
            </w:r>
            <w:r w:rsidRPr="00407AAD">
              <w:rPr>
                <w:rFonts w:ascii="Times New Roman" w:hAnsi="Times New Roman" w:cs="Times New Roman"/>
                <w:sz w:val="20"/>
                <w:szCs w:val="20"/>
              </w:rPr>
              <w:t>Beausejour watershed was destroyed by fire)</w:t>
            </w:r>
          </w:p>
          <w:p w14:paraId="29BF7E2B" w:rsidR="00E61745" w:rsidRPr="00407AAD" w:rsidRDefault="00E61745" w:rsidP="00CA416F">
            <w:pPr>
              <w:pStyle w:val="Footer"/>
              <w:numPr>
                <w:ilvl w:val="0"/>
                <w:numId w:val="65"/>
              </w:numPr>
              <w:tabs>
                <w:tab w:val="clear" w:pos="4680"/>
                <w:tab w:val="clear" w:pos="9360"/>
              </w:tabs>
              <w:ind w:left="252" w:hanging="180"/>
              <w:rPr>
                <w:rFonts w:ascii="Times New Roman" w:hAnsi="Times New Roman" w:cs="Times New Roman"/>
                <w:sz w:val="20"/>
                <w:szCs w:val="20"/>
              </w:rPr>
            </w:pPr>
            <w:r w:rsidRPr="00407AAD">
              <w:rPr>
                <w:rFonts w:ascii="Times New Roman" w:hAnsi="Times New Roman" w:cs="Times New Roman"/>
                <w:sz w:val="20"/>
                <w:szCs w:val="20"/>
              </w:rPr>
              <w:t>Erosion impacts on forests from planting of crops and grazing on steep slopes within and around forest areas</w:t>
            </w:r>
          </w:p>
          <w:p w14:paraId="5A5F11B6" w:rsidR="00E61745" w:rsidRPr="00407AAD" w:rsidRDefault="00E61745" w:rsidP="00CA416F">
            <w:pPr>
              <w:pStyle w:val="Footer"/>
              <w:numPr>
                <w:ilvl w:val="0"/>
                <w:numId w:val="65"/>
              </w:numPr>
              <w:tabs>
                <w:tab w:val="clear" w:pos="4680"/>
                <w:tab w:val="clear" w:pos="9360"/>
              </w:tabs>
              <w:ind w:left="252" w:hanging="180"/>
              <w:rPr>
                <w:rFonts w:ascii="Times New Roman" w:hAnsi="Times New Roman" w:cs="Times New Roman"/>
                <w:sz w:val="20"/>
                <w:szCs w:val="20"/>
              </w:rPr>
            </w:pPr>
            <w:r w:rsidRPr="00407AAD">
              <w:rPr>
                <w:rFonts w:ascii="Times New Roman" w:hAnsi="Times New Roman" w:cs="Times New Roman"/>
                <w:sz w:val="20"/>
                <w:szCs w:val="20"/>
              </w:rPr>
              <w:t>Deforestation due to encroachment of housing and tourism facilities, as well as slash and burn agriculture</w:t>
            </w:r>
          </w:p>
          <w:p w14:paraId="2251AA78" w:rsidR="00E61745" w:rsidRPr="00407AAD" w:rsidRDefault="00E61745" w:rsidP="009C3E04">
            <w:pPr>
              <w:widowControl w:val="0"/>
              <w:autoSpaceDE w:val="0"/>
              <w:autoSpaceDN w:val="0"/>
              <w:adjustRightInd w:val="0"/>
              <w:rPr>
                <w:rFonts w:ascii="Times New Roman" w:hAnsi="Times New Roman" w:cs="Times New Roman"/>
                <w:b/>
                <w:color w:val="FF0000"/>
                <w:sz w:val="20"/>
                <w:szCs w:val="20"/>
              </w:rPr>
            </w:pPr>
          </w:p>
          <w:p w14:paraId="376A3D85" w:rsidR="00E61745" w:rsidRPr="00407AAD" w:rsidRDefault="00E61745" w:rsidP="009C3E04">
            <w:pPr>
              <w:widowControl w:val="0"/>
              <w:autoSpaceDE w:val="0"/>
              <w:autoSpaceDN w:val="0"/>
              <w:adjustRightInd w:val="0"/>
              <w:rPr>
                <w:rFonts w:ascii="Times New Roman" w:hAnsi="Times New Roman" w:cs="Times New Roman"/>
                <w:b/>
                <w:color w:val="FF0000"/>
                <w:sz w:val="20"/>
                <w:szCs w:val="20"/>
              </w:rPr>
            </w:pPr>
          </w:p>
          <w:p w14:paraId="004A926A" w:rsidR="00E61745" w:rsidRPr="00407AAD" w:rsidRDefault="00E61745" w:rsidP="009C3E04">
            <w:pPr>
              <w:widowControl w:val="0"/>
              <w:autoSpaceDE w:val="0"/>
              <w:autoSpaceDN w:val="0"/>
              <w:adjustRightInd w:val="0"/>
              <w:rPr>
                <w:rFonts w:ascii="Times New Roman" w:hAnsi="Times New Roman" w:cs="Times New Roman"/>
                <w:bCs/>
                <w:sz w:val="20"/>
                <w:szCs w:val="20"/>
              </w:rPr>
            </w:pPr>
          </w:p>
        </w:tc>
        <w:tc>
          <w:tcPr>
            <w:tcW w:w="3848" w:type="dxa"/>
          </w:tcPr>
          <w:p w14:paraId="199F55DF" w:rsidR="00E61745" w:rsidRPr="00407AAD" w:rsidRDefault="00E61745" w:rsidP="009C3E04">
            <w:pPr>
              <w:pStyle w:val="ColorfulList-Accent12"/>
              <w:ind w:left="0"/>
              <w:contextualSpacing/>
              <w:rPr>
                <w:sz w:val="20"/>
                <w:szCs w:val="20"/>
              </w:rPr>
            </w:pPr>
          </w:p>
          <w:p w14:paraId="13B8E1DC"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rPr>
              <w:t xml:space="preserve">Enrichment planting using agroforestry crops on steep sloping land and </w:t>
            </w:r>
            <w:r w:rsidRPr="00407AAD">
              <w:rPr>
                <w:sz w:val="20"/>
                <w:szCs w:val="20"/>
                <w:lang w:val="en-GB"/>
              </w:rPr>
              <w:t>hurricane-damaged areas</w:t>
            </w:r>
          </w:p>
          <w:p w14:paraId="548D6FEC"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lang w:val="en-GB"/>
              </w:rPr>
              <w:t>Rehabilitation with native forest species following removal of invasive bamboo (PA and private lands)</w:t>
            </w:r>
          </w:p>
          <w:p w14:paraId="7783ABCD"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lang w:val="en-GB"/>
              </w:rPr>
              <w:t>Fire prevention and control</w:t>
            </w:r>
          </w:p>
          <w:p w14:paraId="3BE9AE45"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lang w:val="en-GB"/>
              </w:rPr>
              <w:t>Restrictions on slash and burn agriculture</w:t>
            </w:r>
          </w:p>
          <w:p w14:paraId="5B8A900D"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lang w:val="en-GB"/>
              </w:rPr>
              <w:t>Expanded</w:t>
            </w:r>
            <w:r w:rsidRPr="00407AAD">
              <w:rPr>
                <w:sz w:val="20"/>
                <w:szCs w:val="20"/>
              </w:rPr>
              <w:t xml:space="preserve"> capacity of existing forestry nurseries</w:t>
            </w:r>
          </w:p>
          <w:p w14:paraId="0E05B6B5" w:rsidR="00E61745" w:rsidRPr="00407AAD" w:rsidRDefault="00E61745" w:rsidP="00CA416F">
            <w:pPr>
              <w:pStyle w:val="ColorfulList-Accent12"/>
              <w:numPr>
                <w:ilvl w:val="0"/>
                <w:numId w:val="61"/>
              </w:numPr>
              <w:ind w:left="342" w:hanging="180"/>
              <w:contextualSpacing/>
              <w:rPr>
                <w:sz w:val="20"/>
                <w:szCs w:val="20"/>
              </w:rPr>
            </w:pPr>
            <w:r w:rsidRPr="00407AAD">
              <w:rPr>
                <w:sz w:val="20"/>
                <w:szCs w:val="20"/>
              </w:rPr>
              <w:t>Local</w:t>
            </w:r>
            <w:r w:rsidRPr="00407AAD">
              <w:rPr>
                <w:sz w:val="20"/>
                <w:szCs w:val="20"/>
                <w:lang w:val="en-GB"/>
              </w:rPr>
              <w:t xml:space="preserve"> community members and DFNP staff trained in SFM, including enrichment planting, maintenance and monitoring, NTFP management</w:t>
            </w:r>
          </w:p>
          <w:p w14:paraId="51645D25" w:rsidR="00E61745" w:rsidRPr="00407AAD" w:rsidRDefault="00E61745" w:rsidP="009C3E04">
            <w:pPr>
              <w:pStyle w:val="ColorfulList-Accent12"/>
              <w:ind w:left="0"/>
              <w:contextualSpacing/>
              <w:rPr>
                <w:sz w:val="20"/>
                <w:szCs w:val="20"/>
              </w:rPr>
            </w:pPr>
          </w:p>
        </w:tc>
        <w:tc>
          <w:tcPr>
            <w:tcW w:w="3352" w:type="dxa"/>
          </w:tcPr>
          <w:p w14:paraId="2CF3E05F" w:rsidR="00E61745" w:rsidRPr="00407AAD" w:rsidRDefault="00E61745" w:rsidP="009C3E04">
            <w:pPr>
              <w:widowControl w:val="0"/>
              <w:autoSpaceDE w:val="0"/>
              <w:autoSpaceDN w:val="0"/>
              <w:adjustRightInd w:val="0"/>
              <w:rPr>
                <w:rFonts w:ascii="Times New Roman" w:hAnsi="Times New Roman" w:cs="Times New Roman"/>
                <w:sz w:val="20"/>
                <w:szCs w:val="20"/>
              </w:rPr>
            </w:pPr>
            <w:r w:rsidRPr="00407AAD">
              <w:rPr>
                <w:rFonts w:ascii="Times New Roman" w:hAnsi="Times New Roman" w:cs="Times New Roman"/>
                <w:b/>
                <w:sz w:val="20"/>
                <w:szCs w:val="20"/>
              </w:rPr>
              <w:t>SFM:</w:t>
            </w:r>
            <w:r w:rsidRPr="00407AAD">
              <w:rPr>
                <w:rFonts w:ascii="Times New Roman" w:hAnsi="Times New Roman" w:cs="Times New Roman"/>
                <w:sz w:val="20"/>
                <w:szCs w:val="20"/>
              </w:rPr>
              <w:t xml:space="preserve"> Carbon sequestration through avoided deforestation and through removal of invasive species and reforestation</w:t>
            </w:r>
          </w:p>
          <w:p w14:paraId="6517ACC5" w:rsidR="00E61745" w:rsidRPr="00407AAD" w:rsidRDefault="00E61745" w:rsidP="00CA416F">
            <w:pPr>
              <w:pStyle w:val="colorfullist-accent11"/>
              <w:numPr>
                <w:ilvl w:val="0"/>
                <w:numId w:val="64"/>
              </w:numPr>
              <w:tabs>
                <w:tab w:val="left" w:pos="245"/>
              </w:tabs>
              <w:spacing w:before="0" w:beforeAutospacing="0" w:after="0" w:afterAutospacing="0"/>
              <w:ind w:left="245" w:hanging="180"/>
              <w:rPr>
                <w:sz w:val="20"/>
                <w:szCs w:val="20"/>
                <w:lang w:val="en-GB"/>
              </w:rPr>
            </w:pPr>
            <w:r w:rsidRPr="00407AAD">
              <w:rPr>
                <w:sz w:val="20"/>
                <w:szCs w:val="20"/>
              </w:rPr>
              <w:t xml:space="preserve">Direct Carbon Benefits: </w:t>
            </w:r>
          </w:p>
          <w:p w14:paraId="3AF0D247" w:rsidR="00E61745" w:rsidRPr="00DC2C5C" w:rsidRDefault="00E61745" w:rsidP="00CA416F">
            <w:pPr>
              <w:pStyle w:val="colorfullist-accent11"/>
              <w:numPr>
                <w:ilvl w:val="0"/>
                <w:numId w:val="64"/>
              </w:numPr>
              <w:tabs>
                <w:tab w:val="left" w:pos="432"/>
              </w:tabs>
              <w:spacing w:before="0" w:beforeAutospacing="0" w:after="0" w:afterAutospacing="0"/>
              <w:ind w:left="432" w:hanging="180"/>
              <w:rPr>
                <w:sz w:val="20"/>
                <w:szCs w:val="20"/>
                <w:lang w:val="en-GB"/>
              </w:rPr>
            </w:pPr>
            <w:r w:rsidRPr="00407AAD">
              <w:rPr>
                <w:sz w:val="20"/>
                <w:szCs w:val="20"/>
                <w:lang w:val="en-US"/>
              </w:rPr>
              <w:t xml:space="preserve">Avoided deforestation on at least 50% of private forest lands (337.3 ha.) through enforcement of regulations on clearing steep </w:t>
            </w:r>
            <w:r w:rsidRPr="00DC2C5C">
              <w:rPr>
                <w:sz w:val="20"/>
                <w:szCs w:val="20"/>
                <w:lang w:val="en-US"/>
              </w:rPr>
              <w:t>slopes / riparian zones conserves total carbon stock of 9,613 tC</w:t>
            </w:r>
          </w:p>
          <w:p w14:paraId="71A75AE9" w:rsidR="00E61745" w:rsidRPr="00DC2C5C" w:rsidRDefault="00DC2C5C" w:rsidP="00CA416F">
            <w:pPr>
              <w:pStyle w:val="colorfullist-accent11"/>
              <w:numPr>
                <w:ilvl w:val="0"/>
                <w:numId w:val="64"/>
              </w:numPr>
              <w:tabs>
                <w:tab w:val="left" w:pos="432"/>
              </w:tabs>
              <w:spacing w:before="0" w:beforeAutospacing="0" w:after="0" w:afterAutospacing="0"/>
              <w:ind w:left="432" w:hanging="180"/>
              <w:rPr>
                <w:rStyle w:val="apple-style-span"/>
                <w:sz w:val="20"/>
                <w:szCs w:val="20"/>
                <w:lang w:val="en-GB"/>
              </w:rPr>
            </w:pPr>
            <w:r>
              <w:rPr>
                <w:rStyle w:val="apple-style-span"/>
                <w:color w:val="040404"/>
                <w:sz w:val="20"/>
                <w:szCs w:val="20"/>
                <w:lang w:val="en-GB"/>
              </w:rPr>
              <w:t>In</w:t>
            </w:r>
            <w:r w:rsidR="00E61745" w:rsidRPr="00DC2C5C">
              <w:rPr>
                <w:rStyle w:val="apple-style-span"/>
                <w:color w:val="040404"/>
                <w:sz w:val="20"/>
                <w:szCs w:val="20"/>
                <w:lang w:val="en-GB"/>
              </w:rPr>
              <w:t>crease of forest cover through enrichment planting (150 ha.) and removal of bamboo (40 ha.) increases carbon stock by 4,320 tC during project lifetime</w:t>
            </w:r>
          </w:p>
          <w:p w14:paraId="4C82FF47" w:rsidR="00E61745" w:rsidRPr="00DC2C5C" w:rsidRDefault="00E61745" w:rsidP="00CA416F">
            <w:pPr>
              <w:pStyle w:val="colorfullist-accent11"/>
              <w:numPr>
                <w:ilvl w:val="0"/>
                <w:numId w:val="64"/>
              </w:numPr>
              <w:tabs>
                <w:tab w:val="left" w:pos="245"/>
              </w:tabs>
              <w:spacing w:before="0" w:beforeAutospacing="0" w:after="0" w:afterAutospacing="0"/>
              <w:ind w:left="245" w:hanging="180"/>
              <w:rPr>
                <w:sz w:val="20"/>
                <w:szCs w:val="20"/>
                <w:lang w:val="en-GB"/>
              </w:rPr>
            </w:pPr>
            <w:r w:rsidRPr="00DC2C5C">
              <w:rPr>
                <w:sz w:val="20"/>
                <w:szCs w:val="20"/>
                <w:lang w:val="en-GB"/>
              </w:rPr>
              <w:t>Indirect Carbon Benefits</w:t>
            </w:r>
          </w:p>
          <w:p w14:paraId="72CE771E" w:rsidR="00E61745" w:rsidRPr="00407AAD" w:rsidRDefault="00E61745" w:rsidP="00CA416F">
            <w:pPr>
              <w:pStyle w:val="colorfullist-accent11"/>
              <w:numPr>
                <w:ilvl w:val="0"/>
                <w:numId w:val="64"/>
              </w:numPr>
              <w:tabs>
                <w:tab w:val="left" w:pos="423"/>
              </w:tabs>
              <w:spacing w:before="0" w:beforeAutospacing="0" w:after="0" w:afterAutospacing="0"/>
              <w:ind w:left="454" w:hanging="180"/>
              <w:rPr>
                <w:sz w:val="20"/>
                <w:szCs w:val="20"/>
                <w:lang w:val="en-GB"/>
              </w:rPr>
            </w:pPr>
            <w:r w:rsidRPr="00DC2C5C">
              <w:rPr>
                <w:sz w:val="20"/>
                <w:szCs w:val="20"/>
                <w:lang w:val="en-US"/>
              </w:rPr>
              <w:t>Avoided deforestation</w:t>
            </w:r>
            <w:r w:rsidRPr="00407AAD">
              <w:rPr>
                <w:sz w:val="20"/>
                <w:szCs w:val="20"/>
                <w:lang w:val="en-US"/>
              </w:rPr>
              <w:t xml:space="preserve"> of total carbon stock in all forests in the Beausejour</w:t>
            </w:r>
            <w:r w:rsidRPr="00407AAD">
              <w:rPr>
                <w:i/>
                <w:sz w:val="20"/>
                <w:szCs w:val="20"/>
                <w:lang w:val="en-US"/>
              </w:rPr>
              <w:t xml:space="preserve"> </w:t>
            </w:r>
            <w:r w:rsidRPr="00407AAD">
              <w:rPr>
                <w:sz w:val="20"/>
                <w:szCs w:val="20"/>
                <w:lang w:val="en-US"/>
              </w:rPr>
              <w:t>watershed by watershed-level planning and management: 26,066.1tC</w:t>
            </w:r>
          </w:p>
        </w:tc>
      </w:tr>
    </w:tbl>
    <w:p w14:paraId="0959E8E9" w:rsidR="00133632" w:rsidRPr="00DC4545" w:rsidRDefault="00133632" w:rsidP="009C3E04">
      <w:pPr>
        <w:widowControl w:val="0"/>
        <w:autoSpaceDE w:val="0"/>
        <w:autoSpaceDN w:val="0"/>
        <w:adjustRightInd w:val="0"/>
        <w:spacing w:before="76" w:after="0" w:line="255" w:lineRule="auto"/>
        <w:ind w:left="110" w:right="166"/>
        <w:rPr>
          <w:rFonts w:ascii="Times New Roman" w:hAnsi="Times New Roman" w:cs="Times New Roman"/>
          <w:b/>
          <w:i/>
        </w:rPr>
      </w:pPr>
    </w:p>
    <w:p w14:paraId="4BA6D85D" w:rsidR="00133632" w:rsidRPr="00DC4545" w:rsidRDefault="00133632" w:rsidP="009C3E04">
      <w:pPr>
        <w:pStyle w:val="Heading2"/>
      </w:pPr>
      <w:bookmarkStart w:id="38" w:name="_Toc389820968"/>
      <w:r w:rsidRPr="00DC4545">
        <w:t>2.5 Key Project Indicators, Risks and Assumptions</w:t>
      </w:r>
      <w:bookmarkEnd w:id="38"/>
    </w:p>
    <w:p w14:paraId="6B671613" w:rsidR="00133632" w:rsidRPr="00DC4545" w:rsidRDefault="003D0F9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D0F96">
        <w:rPr>
          <w:rFonts w:ascii="Times New Roman" w:hAnsi="Times New Roman" w:cs="Times New Roman"/>
        </w:rPr>
        <w:t>Project indicators are detailed in the Results Framework, which is included in Section 3 of this Project Document.  The risks that might prevent or hinder the project from achieving its objective are presented in Table</w:t>
      </w:r>
      <w:r w:rsidR="00D25036">
        <w:rPr>
          <w:rFonts w:ascii="Times New Roman" w:hAnsi="Times New Roman" w:cs="Times New Roman"/>
        </w:rPr>
        <w:t xml:space="preserve"> 6</w:t>
      </w:r>
      <w:r w:rsidR="00133632" w:rsidRPr="00DC4545">
        <w:rPr>
          <w:rFonts w:ascii="Times New Roman" w:hAnsi="Times New Roman" w:cs="Times New Roman"/>
        </w:rPr>
        <w:t>.</w:t>
      </w:r>
    </w:p>
    <w:p w14:paraId="1C13579D" w:rsidR="00133632" w:rsidRDefault="00133632" w:rsidP="009C3E04">
      <w:pPr>
        <w:rPr>
          <w:rFonts w:ascii="Times New Roman" w:hAnsi="Times New Roman" w:cs="Times New Roman"/>
          <w:b/>
        </w:rPr>
      </w:pPr>
      <w:r w:rsidRPr="00DC4545">
        <w:rPr>
          <w:rFonts w:ascii="Times New Roman" w:hAnsi="Times New Roman" w:cs="Times New Roman"/>
          <w:b/>
        </w:rPr>
        <w:t xml:space="preserve">Table </w:t>
      </w:r>
      <w:r w:rsidR="00D25036">
        <w:rPr>
          <w:rFonts w:ascii="Times New Roman" w:hAnsi="Times New Roman" w:cs="Times New Roman"/>
          <w:b/>
        </w:rPr>
        <w:t>6</w:t>
      </w:r>
      <w:r w:rsidRPr="00DC4545">
        <w:rPr>
          <w:rFonts w:ascii="Times New Roman" w:hAnsi="Times New Roman" w:cs="Times New Roman"/>
          <w:b/>
        </w:rPr>
        <w:t xml:space="preserve">: Risks Facing the Project and Risk Mitigation Strategy </w:t>
      </w:r>
    </w:p>
    <w:tbl>
      <w:tblPr>
        <w:tblStyle w:val="TableGrid21"/>
        <w:tblW w:w="0" w:type="auto"/>
        <w:tblLook w:val="04A0" w:firstRow="1" w:lastRow="0" w:firstColumn="1" w:lastColumn="0" w:noHBand="0" w:noVBand="1"/>
      </w:tblPr>
      <w:tblGrid>
        <w:gridCol w:w="1866"/>
        <w:gridCol w:w="809"/>
        <w:gridCol w:w="6901"/>
      </w:tblGrid>
      <w:tr w14:paraId="131721A9" w:rsidR="002518B4" w:rsidRPr="002518B4" w:rsidTr="001A42EF">
        <w:trPr>
          <w:tblHeader/>
        </w:trPr>
        <w:tc>
          <w:tcPr>
            <w:tcW w:w="1866" w:type="dxa"/>
            <w:shd w:val="clear" w:color="auto" w:fill="D9D9D9" w:themeFill="background1" w:themeFillShade="D9"/>
          </w:tcPr>
          <w:p w14:paraId="4A545BDB"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Risk</w:t>
            </w:r>
          </w:p>
        </w:tc>
        <w:tc>
          <w:tcPr>
            <w:tcW w:w="809" w:type="dxa"/>
            <w:shd w:val="clear" w:color="auto" w:fill="D9D9D9" w:themeFill="background1" w:themeFillShade="D9"/>
          </w:tcPr>
          <w:p w14:paraId="0904D518"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Risk</w:t>
            </w:r>
          </w:p>
          <w:p w14:paraId="47F8E2D3"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Level</w:t>
            </w:r>
          </w:p>
        </w:tc>
        <w:tc>
          <w:tcPr>
            <w:tcW w:w="6901" w:type="dxa"/>
            <w:shd w:val="clear" w:color="auto" w:fill="D9D9D9" w:themeFill="background1" w:themeFillShade="D9"/>
          </w:tcPr>
          <w:p w14:paraId="498A2E3E"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Risk Mitigation Strategy</w:t>
            </w:r>
          </w:p>
        </w:tc>
      </w:tr>
      <w:tr w14:paraId="6EAE1E89" w:rsidR="002518B4" w:rsidRPr="002518B4" w:rsidTr="001A42EF">
        <w:tc>
          <w:tcPr>
            <w:tcW w:w="1866" w:type="dxa"/>
          </w:tcPr>
          <w:p w14:paraId="62A40EAF" w:rsidR="002518B4" w:rsidRPr="002518B4" w:rsidRDefault="002518B4" w:rsidP="001A42EF">
            <w:pPr>
              <w:rPr>
                <w:rFonts w:ascii="Times New Roman" w:hAnsi="Times New Roman" w:cs="Times New Roman"/>
                <w:sz w:val="20"/>
                <w:szCs w:val="20"/>
                <w:vertAlign w:val="superscript"/>
              </w:rPr>
            </w:pPr>
            <w:r w:rsidRPr="002518B4">
              <w:rPr>
                <w:rFonts w:ascii="Times New Roman" w:hAnsi="Times New Roman" w:cs="Times New Roman"/>
                <w:sz w:val="20"/>
                <w:szCs w:val="20"/>
              </w:rPr>
              <w:t>1. Limited Government readiness for SFM/REDD</w:t>
            </w:r>
            <w:r w:rsidRPr="002518B4">
              <w:rPr>
                <w:rFonts w:ascii="Times New Roman" w:hAnsi="Times New Roman" w:cs="Times New Roman"/>
                <w:sz w:val="20"/>
                <w:szCs w:val="20"/>
                <w:vertAlign w:val="superscript"/>
              </w:rPr>
              <w:t>+</w:t>
            </w:r>
          </w:p>
          <w:p w14:paraId="729F2459" w:rsidR="002518B4" w:rsidRPr="002518B4" w:rsidRDefault="002518B4" w:rsidP="001A42EF">
            <w:pPr>
              <w:rPr>
                <w:rFonts w:ascii="Times New Roman" w:hAnsi="Times New Roman" w:cs="Times New Roman"/>
                <w:sz w:val="20"/>
                <w:szCs w:val="20"/>
              </w:rPr>
            </w:pPr>
          </w:p>
        </w:tc>
        <w:tc>
          <w:tcPr>
            <w:tcW w:w="809" w:type="dxa"/>
          </w:tcPr>
          <w:p w14:paraId="384945C7" w:rsidR="002518B4" w:rsidRPr="002518B4" w:rsidRDefault="002518B4" w:rsidP="001A42EF">
            <w:pPr>
              <w:rPr>
                <w:rFonts w:ascii="Times New Roman" w:hAnsi="Times New Roman" w:cs="Times New Roman"/>
                <w:sz w:val="20"/>
                <w:szCs w:val="20"/>
              </w:rPr>
            </w:pPr>
          </w:p>
          <w:p w14:paraId="6BF90059"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M</w:t>
            </w:r>
          </w:p>
        </w:tc>
        <w:tc>
          <w:tcPr>
            <w:tcW w:w="6901" w:type="dxa"/>
          </w:tcPr>
          <w:p w14:paraId="69E39349"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While there is evidence of institutional weaknesses regarding SFM/REDD+ (e.g. limited staff at the forestry department), the recent initiatives of OPAAL (2005-2011), where collaboration was forged with farmers groups in the pilot area, indicate good prospects for capacity enhancement that would specifically benefit SFM/REDD+ practices on landscapes. The Project will offer opportunity for long-term forest management through training in technologies and methodologies and with enhanced experience in co-management. This will, in turn, complement the longer-term process of the REDD</w:t>
            </w:r>
            <w:r w:rsidRPr="002518B4">
              <w:rPr>
                <w:rFonts w:ascii="Times New Roman" w:hAnsi="Times New Roman" w:cs="Times New Roman"/>
                <w:sz w:val="20"/>
                <w:szCs w:val="20"/>
                <w:vertAlign w:val="superscript"/>
              </w:rPr>
              <w:t>+</w:t>
            </w:r>
            <w:r w:rsidRPr="002518B4">
              <w:rPr>
                <w:rFonts w:ascii="Times New Roman" w:hAnsi="Times New Roman" w:cs="Times New Roman"/>
                <w:sz w:val="20"/>
                <w:szCs w:val="20"/>
              </w:rPr>
              <w:t xml:space="preserve"> strategy to improve readiness and institutional capacity for SFM/REDD</w:t>
            </w:r>
            <w:r w:rsidRPr="002518B4">
              <w:rPr>
                <w:rFonts w:ascii="Times New Roman" w:hAnsi="Times New Roman" w:cs="Times New Roman"/>
                <w:sz w:val="20"/>
                <w:szCs w:val="20"/>
                <w:vertAlign w:val="superscript"/>
              </w:rPr>
              <w:t>+</w:t>
            </w:r>
            <w:r w:rsidRPr="002518B4">
              <w:rPr>
                <w:rFonts w:ascii="Times New Roman" w:hAnsi="Times New Roman" w:cs="Times New Roman"/>
                <w:sz w:val="20"/>
                <w:szCs w:val="20"/>
              </w:rPr>
              <w:t xml:space="preserve">, LD and BD management and conservation. </w:t>
            </w:r>
          </w:p>
        </w:tc>
      </w:tr>
      <w:tr w14:paraId="56006E7F" w:rsidR="002518B4" w:rsidRPr="002518B4" w:rsidTr="001A42EF">
        <w:tc>
          <w:tcPr>
            <w:tcW w:w="1866" w:type="dxa"/>
          </w:tcPr>
          <w:p w14:paraId="37BFFFD4"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2. Climate change exacerbates the effects of inappropriate land-use practices</w:t>
            </w:r>
          </w:p>
        </w:tc>
        <w:tc>
          <w:tcPr>
            <w:tcW w:w="809" w:type="dxa"/>
          </w:tcPr>
          <w:p w14:paraId="5C1F5F71" w:rsidR="002518B4" w:rsidRPr="002518B4" w:rsidRDefault="002518B4" w:rsidP="001A42EF">
            <w:pPr>
              <w:rPr>
                <w:rFonts w:ascii="Times New Roman" w:hAnsi="Times New Roman" w:cs="Times New Roman"/>
                <w:sz w:val="20"/>
                <w:szCs w:val="20"/>
              </w:rPr>
            </w:pPr>
          </w:p>
          <w:p w14:paraId="3E10EA60"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H</w:t>
            </w:r>
          </w:p>
        </w:tc>
        <w:tc>
          <w:tcPr>
            <w:tcW w:w="6901" w:type="dxa"/>
          </w:tcPr>
          <w:p w14:paraId="7FBF914E"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Climate Change, through increased hurricanes and severe dry and rainy seasons, exacerbates the impacts of fragmented ‘slash and burn’ agriculture by increasing flooding and degradation of steep slope landscapes, oftentimes hampering natural regrowth. While the ecosystem recovery from these practices is more difficult because of the impacts of CC, the Project will engage in SLM and SFM measures that will help mitigate these effects. Re-vegetation and coral reef, mangrove and forest conservation activities will contribute to reducing the impacts of hurricanes on ecosystem services and human infrastructure (through coastal protection). Specifically, the Project will implement an agro-forestry program using drought resistant plants to recover these bare landscapes and increase resilience to climate change impacts, while offering prospects for farmers and landowners to earn an income from the tree crops generated from these efforts. The Project will engage local area farmers and landowners in a number of LD, SLM, SFM/REDD</w:t>
            </w:r>
            <w:r w:rsidRPr="002518B4">
              <w:rPr>
                <w:rFonts w:ascii="Times New Roman" w:hAnsi="Times New Roman" w:cs="Times New Roman"/>
                <w:sz w:val="20"/>
                <w:szCs w:val="20"/>
                <w:vertAlign w:val="superscript"/>
              </w:rPr>
              <w:t>+</w:t>
            </w:r>
            <w:r w:rsidRPr="002518B4">
              <w:rPr>
                <w:rFonts w:ascii="Times New Roman" w:hAnsi="Times New Roman" w:cs="Times New Roman"/>
                <w:sz w:val="20"/>
                <w:szCs w:val="20"/>
              </w:rPr>
              <w:t xml:space="preserve"> and CC adaptation practices with a special focus on monitoring water quality for its potable qualities and also for sediment loading. As a co-management exercise, the Project will also demonstrate the benefits of the SLM and SFM practices accommodated by land and sea users on the quality of water within the watershed and MPA over the project’s lifetime. </w:t>
            </w:r>
          </w:p>
        </w:tc>
      </w:tr>
      <w:tr w14:paraId="6A8D57C5" w:rsidR="002518B4" w:rsidRPr="002518B4" w:rsidTr="001A42EF">
        <w:tc>
          <w:tcPr>
            <w:tcW w:w="1866" w:type="dxa"/>
          </w:tcPr>
          <w:p w14:paraId="65D20ED2"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 xml:space="preserve">3. Marine and terrestrial ecosystems are not sufficiently resilient and their biological and physical integrity is compromised by the effects of global and regional climate change </w:t>
            </w:r>
          </w:p>
        </w:tc>
        <w:tc>
          <w:tcPr>
            <w:tcW w:w="809" w:type="dxa"/>
          </w:tcPr>
          <w:p w14:paraId="0CB0E6FD" w:rsidR="002518B4" w:rsidRPr="002518B4" w:rsidDel="005B202A" w:rsidRDefault="002518B4" w:rsidP="001A42EF">
            <w:pPr>
              <w:tabs>
                <w:tab w:val="left" w:pos="-108"/>
              </w:tabs>
              <w:ind w:left="-108" w:right="-108"/>
              <w:jc w:val="center"/>
              <w:rPr>
                <w:rFonts w:ascii="Times New Roman" w:hAnsi="Times New Roman" w:cs="Times New Roman"/>
                <w:sz w:val="20"/>
                <w:szCs w:val="20"/>
              </w:rPr>
            </w:pPr>
            <w:r w:rsidRPr="002518B4">
              <w:rPr>
                <w:rFonts w:ascii="Times New Roman" w:hAnsi="Times New Roman" w:cs="Times New Roman"/>
                <w:sz w:val="20"/>
                <w:szCs w:val="20"/>
              </w:rPr>
              <w:t>M</w:t>
            </w:r>
          </w:p>
        </w:tc>
        <w:tc>
          <w:tcPr>
            <w:tcW w:w="6901" w:type="dxa"/>
          </w:tcPr>
          <w:p w14:paraId="18585AE0" w:rsidR="002518B4" w:rsidRPr="002518B4" w:rsidRDefault="002518B4" w:rsidP="001A42EF">
            <w:pPr>
              <w:tabs>
                <w:tab w:val="left" w:pos="0"/>
              </w:tabs>
              <w:jc w:val="both"/>
              <w:rPr>
                <w:rFonts w:ascii="Times New Roman" w:hAnsi="Times New Roman" w:cs="Times New Roman"/>
                <w:sz w:val="20"/>
                <w:szCs w:val="20"/>
              </w:rPr>
            </w:pPr>
            <w:r w:rsidRPr="002518B4">
              <w:rPr>
                <w:rFonts w:ascii="Times New Roman" w:hAnsi="Times New Roman" w:cs="Times New Roman"/>
                <w:sz w:val="20"/>
                <w:szCs w:val="20"/>
              </w:rPr>
              <w:t>The existing and proposed terrestrial and marine PAs together will be large enough, and encompass enough different types of ecosystems, to sustain biodiversity and ecosystem services even in the face of climate change impacts such as gradually increasing temperatures, increased hurricanes, and droughts.</w:t>
            </w:r>
          </w:p>
        </w:tc>
      </w:tr>
      <w:tr w14:paraId="4412C90D" w:rsidR="002518B4" w:rsidRPr="002518B4" w:rsidTr="001A42EF">
        <w:tc>
          <w:tcPr>
            <w:tcW w:w="1866" w:type="dxa"/>
          </w:tcPr>
          <w:p w14:paraId="27FBC070"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 xml:space="preserve">4. Uncertainty concerning sea-use management in the near-shore sea zone </w:t>
            </w:r>
          </w:p>
        </w:tc>
        <w:tc>
          <w:tcPr>
            <w:tcW w:w="809" w:type="dxa"/>
          </w:tcPr>
          <w:p w14:paraId="70FD2E09" w:rsidR="002518B4" w:rsidRPr="002518B4" w:rsidRDefault="002518B4" w:rsidP="001A42EF">
            <w:pPr>
              <w:rPr>
                <w:rFonts w:ascii="Times New Roman" w:hAnsi="Times New Roman" w:cs="Times New Roman"/>
                <w:sz w:val="20"/>
                <w:szCs w:val="20"/>
              </w:rPr>
            </w:pPr>
          </w:p>
          <w:p w14:paraId="16D49F35"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L</w:t>
            </w:r>
          </w:p>
        </w:tc>
        <w:tc>
          <w:tcPr>
            <w:tcW w:w="6901" w:type="dxa"/>
          </w:tcPr>
          <w:p w14:paraId="7B9B02E0"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The Project will support policy, institutional and pilot activities to ensure that BD and ecosystems functions in and around PAs are protected against threats related to “land-sea” leasing practices for building marinas, and will address issues of sea-use from the perspective of bio-impacts as well as quality of coastal ecosystems services. Increased capacity and institutional strengthening through the Project will enhance the management effectiveness of marinas and MPAs alike in order to lower the risks related to sea-use in the near-shore sea zone.</w:t>
            </w:r>
          </w:p>
        </w:tc>
      </w:tr>
      <w:tr w14:paraId="6AED46C4" w:rsidR="002518B4" w:rsidRPr="002518B4" w:rsidTr="001A42EF">
        <w:tc>
          <w:tcPr>
            <w:tcW w:w="1866" w:type="dxa"/>
          </w:tcPr>
          <w:p w14:paraId="11748958"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5. Lack of an effective formula for incorporating private lands into the PAs network</w:t>
            </w:r>
          </w:p>
        </w:tc>
        <w:tc>
          <w:tcPr>
            <w:tcW w:w="809" w:type="dxa"/>
          </w:tcPr>
          <w:p w14:paraId="3C3651DD" w:rsidR="002518B4" w:rsidRPr="002518B4" w:rsidRDefault="002518B4" w:rsidP="001A42EF">
            <w:pPr>
              <w:rPr>
                <w:rFonts w:ascii="Times New Roman" w:hAnsi="Times New Roman" w:cs="Times New Roman"/>
                <w:sz w:val="20"/>
                <w:szCs w:val="20"/>
              </w:rPr>
            </w:pPr>
          </w:p>
          <w:p w14:paraId="6EEC7D33"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M-H</w:t>
            </w:r>
          </w:p>
        </w:tc>
        <w:tc>
          <w:tcPr>
            <w:tcW w:w="6901" w:type="dxa"/>
          </w:tcPr>
          <w:p w14:paraId="1591A4B8"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 xml:space="preserve">Mt. St. Catherine has been deemed to have strong potential for either a restrictive land development control (LDC) model or a co-management model in the context of an effective island-wide policy-based implementation of PAs and adjacent landscape management. The Project will actively promote options that acquire public buy-in for the incorporation of private lands into the PA system while protecting the property rights of citizens. </w:t>
            </w:r>
          </w:p>
        </w:tc>
      </w:tr>
      <w:tr w14:paraId="3895FE12" w:rsidR="002518B4" w:rsidRPr="002518B4" w:rsidTr="001A42EF">
        <w:tc>
          <w:tcPr>
            <w:tcW w:w="1866" w:type="dxa"/>
          </w:tcPr>
          <w:p w14:paraId="6E0B5AE5"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6. Lack of local stakeholders involvement in co-management initiatives.</w:t>
            </w:r>
          </w:p>
        </w:tc>
        <w:tc>
          <w:tcPr>
            <w:tcW w:w="809" w:type="dxa"/>
          </w:tcPr>
          <w:p w14:paraId="3E586817" w:rsidR="002518B4" w:rsidRPr="002518B4" w:rsidRDefault="002518B4" w:rsidP="001A42EF">
            <w:pPr>
              <w:rPr>
                <w:rFonts w:ascii="Times New Roman" w:hAnsi="Times New Roman" w:cs="Times New Roman"/>
                <w:sz w:val="20"/>
                <w:szCs w:val="20"/>
              </w:rPr>
            </w:pPr>
          </w:p>
          <w:p w14:paraId="3E4BBA19"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M-L</w:t>
            </w:r>
          </w:p>
        </w:tc>
        <w:tc>
          <w:tcPr>
            <w:tcW w:w="6901" w:type="dxa"/>
          </w:tcPr>
          <w:p w14:paraId="0F3A88CF"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The Project will engage relevant stakeholders (NGOs, CBOs, local area persons and Competent Authorities) in co-management initiatives that effectively couple the livelihood interests of local area farmers and landowners with Competent Authorities’ INRM objectives.</w:t>
            </w:r>
          </w:p>
        </w:tc>
      </w:tr>
      <w:tr w14:paraId="6D15E1A9" w:rsidR="002518B4" w:rsidRPr="002518B4" w:rsidTr="001A42EF">
        <w:tc>
          <w:tcPr>
            <w:tcW w:w="1866" w:type="dxa"/>
          </w:tcPr>
          <w:p w14:paraId="7745BD51"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7. Uncertainty of institutionalizing and maintaining a sustainably financed PA network</w:t>
            </w:r>
          </w:p>
          <w:p w14:paraId="51A6730B" w:rsidR="002518B4" w:rsidRPr="002518B4" w:rsidRDefault="002518B4" w:rsidP="001A42EF">
            <w:pPr>
              <w:rPr>
                <w:rFonts w:ascii="Times New Roman" w:hAnsi="Times New Roman" w:cs="Times New Roman"/>
                <w:sz w:val="20"/>
                <w:szCs w:val="20"/>
              </w:rPr>
            </w:pPr>
          </w:p>
        </w:tc>
        <w:tc>
          <w:tcPr>
            <w:tcW w:w="809" w:type="dxa"/>
          </w:tcPr>
          <w:p w14:paraId="4A2EB39D" w:rsidR="002518B4" w:rsidRPr="002518B4" w:rsidRDefault="002518B4" w:rsidP="001A42EF">
            <w:pPr>
              <w:rPr>
                <w:rFonts w:ascii="Times New Roman" w:hAnsi="Times New Roman" w:cs="Times New Roman"/>
                <w:sz w:val="20"/>
                <w:szCs w:val="20"/>
              </w:rPr>
            </w:pPr>
          </w:p>
          <w:p w14:paraId="65DF5162"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M</w:t>
            </w:r>
          </w:p>
        </w:tc>
        <w:tc>
          <w:tcPr>
            <w:tcW w:w="6901" w:type="dxa"/>
          </w:tcPr>
          <w:p w14:paraId="14DF9D1E"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The Project will support the institutionalization of an expanded PA network through enhanced facilities and management effectiveness for selected PAs, as well as the strengthening of the legal/regulatory base for the network. The Project will demonstrate in increments how a Sustainable Financing Plan for maintaining a network of PAs can be made to work. While the prospect of applying user fees as an instrument for sustainable financing is remote since most of the PAs are very small, an innovative framework where PAs within a managed network are commercialized, not privatized, could generate revenues from local as well as tourist users of the PAs. The Project will establish a PA system business plan and undertake awareness-raising on the cost-effectiveness of conservation, management and importance of BD and ecosystem services provided by PAs, in order to generate clear information on the economic benefits of PAs so as to increase political support for their funding.</w:t>
            </w:r>
          </w:p>
        </w:tc>
      </w:tr>
      <w:tr w14:paraId="494A89EB" w:rsidR="002518B4" w:rsidRPr="002518B4" w:rsidTr="001A42EF">
        <w:tc>
          <w:tcPr>
            <w:tcW w:w="1866" w:type="dxa"/>
          </w:tcPr>
          <w:p w14:paraId="23414A46"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8. Government fails to sustain its political and financial support for PA planning and operations</w:t>
            </w:r>
          </w:p>
        </w:tc>
        <w:tc>
          <w:tcPr>
            <w:tcW w:w="809" w:type="dxa"/>
          </w:tcPr>
          <w:p w14:paraId="220CB65B" w:rsidR="002518B4" w:rsidRPr="002518B4" w:rsidRDefault="002518B4" w:rsidP="001A42EF">
            <w:pPr>
              <w:rPr>
                <w:rFonts w:ascii="Times New Roman" w:hAnsi="Times New Roman" w:cs="Times New Roman"/>
                <w:sz w:val="20"/>
                <w:szCs w:val="20"/>
              </w:rPr>
            </w:pPr>
          </w:p>
          <w:p w14:paraId="6780C9DB"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M</w:t>
            </w:r>
          </w:p>
        </w:tc>
        <w:tc>
          <w:tcPr>
            <w:tcW w:w="6901" w:type="dxa"/>
          </w:tcPr>
          <w:p w14:paraId="56F371DF" w:rsidR="002518B4" w:rsidRPr="002518B4" w:rsidRDefault="002518B4" w:rsidP="001A42EF">
            <w:pPr>
              <w:rPr>
                <w:rFonts w:ascii="Times New Roman" w:hAnsi="Times New Roman" w:cs="Times New Roman"/>
                <w:sz w:val="20"/>
                <w:szCs w:val="20"/>
              </w:rPr>
            </w:pPr>
            <w:r w:rsidRPr="002518B4">
              <w:rPr>
                <w:rFonts w:ascii="Times New Roman" w:hAnsi="Times New Roman" w:cs="Times New Roman"/>
                <w:sz w:val="20"/>
                <w:szCs w:val="20"/>
              </w:rPr>
              <w:t xml:space="preserve">The Government has declared a plan to cut recurrent spending by 20% for a number of years from 2014 onward, thereby putting at risk the integration of PAs into the Government’s Annual Recurrent Estimates of Revenue and Expenditure Program past the lifetime of the Project.  The Project’s interventions will complement and bolster baseline programs and garner support for the Government’s commitment to maintain current staff levels for these baseline programs. Through the support of UNDP, the Project will sustain the interest of Government officials by keeping them informed of the Project’s achievements through various means (e.g. Steering Committee, learning and knowledge sharing, and field visits). Collaborative practices and ongoing Government contributions through technical input from baseline activities, offer good potential for sustainable support for the BD and ecosystems functions agenda. There are high prospects for significant lessons to be learned and replication of experiences in other watersheds since area farmers have had very good prior engagement in livelihoods-focused initiatives (e.g. GEF agro-forestry and OECS OPAALS projects in recent times), and thus stakeholder/ constituent interest will warrant continued political/financial support. </w:t>
            </w:r>
          </w:p>
        </w:tc>
      </w:tr>
    </w:tbl>
    <w:p w14:paraId="2D57ACF1" w:rsidR="00133632" w:rsidRPr="00DC4545" w:rsidRDefault="00133632" w:rsidP="002D450A">
      <w:pPr>
        <w:pStyle w:val="ListParagraph"/>
        <w:spacing w:after="240" w:line="240" w:lineRule="auto"/>
        <w:ind w:left="0"/>
        <w:contextualSpacing w:val="0"/>
        <w:jc w:val="both"/>
        <w:rPr>
          <w:rFonts w:ascii="Times New Roman" w:hAnsi="Times New Roman" w:cs="Times New Roman"/>
        </w:rPr>
      </w:pPr>
      <w:r w:rsidRPr="00DC4545">
        <w:rPr>
          <w:rFonts w:ascii="Times New Roman" w:hAnsi="Times New Roman" w:cs="Times New Roman"/>
        </w:rPr>
        <w:t xml:space="preserve"> </w:t>
      </w:r>
    </w:p>
    <w:p w14:paraId="5ED172D5" w:rsidR="00133632" w:rsidRPr="006E07EC" w:rsidRDefault="00133632" w:rsidP="009C3E04">
      <w:pPr>
        <w:pStyle w:val="Heading2"/>
      </w:pPr>
      <w:bookmarkStart w:id="39" w:name="_Toc389820969"/>
      <w:r w:rsidRPr="006E07EC">
        <w:t>2.6 Financial Modality</w:t>
      </w:r>
      <w:bookmarkEnd w:id="39"/>
      <w:r w:rsidRPr="006E07EC">
        <w:t xml:space="preserve"> </w:t>
      </w:r>
    </w:p>
    <w:p w14:paraId="33967089" w:rsidR="00133632" w:rsidRPr="006E07EC"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6E07EC">
        <w:rPr>
          <w:rFonts w:ascii="Times New Roman" w:hAnsi="Times New Roman" w:cs="Times New Roman"/>
        </w:rPr>
        <w:t>The financial support provided by GEF resources will consist of a grant to cover incremental costs of activities. Therefore, the GEF resources will be chiefly directed toward technical assistance and enabling capacity.</w:t>
      </w:r>
    </w:p>
    <w:p w14:paraId="4CC36DF8" w:rsidR="00133632" w:rsidRPr="006E07EC"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6E07EC">
        <w:rPr>
          <w:rFonts w:ascii="Times New Roman" w:hAnsi="Times New Roman" w:cs="Times New Roman"/>
        </w:rPr>
        <w:t xml:space="preserve">The project will be executed under </w:t>
      </w:r>
      <w:r w:rsidR="001A42EF" w:rsidRPr="006E07EC">
        <w:rPr>
          <w:rFonts w:ascii="Times New Roman" w:hAnsi="Times New Roman" w:cs="Times New Roman"/>
        </w:rPr>
        <w:t>N</w:t>
      </w:r>
      <w:r w:rsidRPr="006E07EC">
        <w:rPr>
          <w:rFonts w:ascii="Times New Roman" w:hAnsi="Times New Roman" w:cs="Times New Roman"/>
        </w:rPr>
        <w:t>IM according to the standard regulations for UNDP cooperation in Grenada. The cost of the incremental activities that are required t</w:t>
      </w:r>
      <w:r w:rsidR="00930268" w:rsidRPr="006E07EC">
        <w:rPr>
          <w:rFonts w:ascii="Times New Roman" w:hAnsi="Times New Roman" w:cs="Times New Roman"/>
        </w:rPr>
        <w:t>o contribute to global benefits</w:t>
      </w:r>
      <w:r w:rsidRPr="006E07EC">
        <w:rPr>
          <w:rFonts w:ascii="Times New Roman" w:hAnsi="Times New Roman" w:cs="Times New Roman"/>
        </w:rPr>
        <w:t xml:space="preserve"> will be financed by </w:t>
      </w:r>
      <w:r w:rsidR="00930268" w:rsidRPr="006E07EC">
        <w:rPr>
          <w:rFonts w:ascii="Times New Roman" w:hAnsi="Times New Roman" w:cs="Times New Roman"/>
        </w:rPr>
        <w:t>the GEF to the extent of US$3,</w:t>
      </w:r>
      <w:r w:rsidRPr="006E07EC">
        <w:rPr>
          <w:rFonts w:ascii="Times New Roman" w:hAnsi="Times New Roman" w:cs="Times New Roman"/>
        </w:rPr>
        <w:t xml:space="preserve">031,666. A summary of the project’s overall GEF budget is given in </w:t>
      </w:r>
      <w:r w:rsidR="00D25036" w:rsidRPr="006E07EC">
        <w:rPr>
          <w:rFonts w:ascii="Times New Roman" w:hAnsi="Times New Roman" w:cs="Times New Roman"/>
        </w:rPr>
        <w:t>T</w:t>
      </w:r>
      <w:r w:rsidRPr="006E07EC">
        <w:rPr>
          <w:rFonts w:ascii="Times New Roman" w:hAnsi="Times New Roman" w:cs="Times New Roman"/>
        </w:rPr>
        <w:t xml:space="preserve">able </w:t>
      </w:r>
      <w:r w:rsidR="00D25036" w:rsidRPr="006E07EC">
        <w:rPr>
          <w:rFonts w:ascii="Times New Roman" w:hAnsi="Times New Roman" w:cs="Times New Roman"/>
        </w:rPr>
        <w:t>7</w:t>
      </w:r>
      <w:r w:rsidRPr="006E07EC">
        <w:rPr>
          <w:rFonts w:ascii="Times New Roman" w:hAnsi="Times New Roman" w:cs="Times New Roman"/>
        </w:rPr>
        <w:t xml:space="preserve">.  </w:t>
      </w:r>
    </w:p>
    <w:p w14:paraId="08411F59" w:rsidR="00133632" w:rsidRPr="006E07EC" w:rsidRDefault="00133632" w:rsidP="009C3E04">
      <w:pPr>
        <w:rPr>
          <w:rFonts w:ascii="Times New Roman" w:hAnsi="Times New Roman" w:cs="Times New Roman"/>
          <w:b/>
        </w:rPr>
      </w:pPr>
      <w:r w:rsidRPr="006E07EC">
        <w:rPr>
          <w:rFonts w:ascii="Times New Roman" w:hAnsi="Times New Roman" w:cs="Times New Roman"/>
          <w:b/>
        </w:rPr>
        <w:t xml:space="preserve">Table </w:t>
      </w:r>
      <w:r w:rsidR="00D25036" w:rsidRPr="006E07EC">
        <w:rPr>
          <w:rFonts w:ascii="Times New Roman" w:hAnsi="Times New Roman" w:cs="Times New Roman"/>
          <w:b/>
        </w:rPr>
        <w:t>7</w:t>
      </w:r>
      <w:r w:rsidRPr="006E07EC">
        <w:rPr>
          <w:rFonts w:ascii="Times New Roman" w:hAnsi="Times New Roman" w:cs="Times New Roman"/>
          <w:b/>
        </w:rPr>
        <w:t>. Total Project Budget</w:t>
      </w:r>
    </w:p>
    <w:tbl>
      <w:tblPr>
        <w:tblStyle w:val="TableGrid"/>
        <w:tblW w:w="0" w:type="auto"/>
        <w:tblLook w:val="04A0" w:firstRow="1" w:lastRow="0" w:firstColumn="1" w:lastColumn="0" w:noHBand="0" w:noVBand="1"/>
      </w:tblPr>
      <w:tblGrid>
        <w:gridCol w:w="4878"/>
        <w:gridCol w:w="2340"/>
        <w:gridCol w:w="2358"/>
      </w:tblGrid>
      <w:tr w14:paraId="2387DA16" w:rsidR="00133632" w:rsidRPr="006E07EC" w:rsidTr="00005220">
        <w:tc>
          <w:tcPr>
            <w:tcW w:w="4878" w:type="dxa"/>
          </w:tcPr>
          <w:p w14:paraId="3EF5F160" w:rsidR="00133632" w:rsidRPr="006E07EC" w:rsidRDefault="00133632" w:rsidP="009C3E04">
            <w:pPr>
              <w:rPr>
                <w:rFonts w:ascii="Times New Roman" w:hAnsi="Times New Roman" w:cs="Times New Roman"/>
                <w:b/>
              </w:rPr>
            </w:pPr>
          </w:p>
          <w:p w14:paraId="530EBB33" w:rsidR="00133632" w:rsidRPr="006E07EC" w:rsidRDefault="00133632" w:rsidP="009C3E04">
            <w:pPr>
              <w:rPr>
                <w:rFonts w:ascii="Times New Roman" w:hAnsi="Times New Roman" w:cs="Times New Roman"/>
                <w:b/>
              </w:rPr>
            </w:pPr>
            <w:r w:rsidRPr="006E07EC">
              <w:rPr>
                <w:rFonts w:ascii="Times New Roman" w:hAnsi="Times New Roman" w:cs="Times New Roman"/>
                <w:b/>
              </w:rPr>
              <w:t xml:space="preserve">Outcome </w:t>
            </w:r>
          </w:p>
        </w:tc>
        <w:tc>
          <w:tcPr>
            <w:tcW w:w="2340" w:type="dxa"/>
          </w:tcPr>
          <w:p w14:paraId="58008E8F" w:rsidR="00133632" w:rsidRPr="006E07EC" w:rsidRDefault="00133632" w:rsidP="009C3E04">
            <w:pPr>
              <w:rPr>
                <w:rFonts w:ascii="Times New Roman" w:hAnsi="Times New Roman" w:cs="Times New Roman"/>
                <w:b/>
              </w:rPr>
            </w:pPr>
          </w:p>
          <w:p w14:paraId="6B1B6138" w:rsidR="00133632" w:rsidRPr="006E07EC" w:rsidRDefault="00133632" w:rsidP="009C3E04">
            <w:pPr>
              <w:rPr>
                <w:rFonts w:ascii="Times New Roman" w:hAnsi="Times New Roman" w:cs="Times New Roman"/>
                <w:b/>
              </w:rPr>
            </w:pPr>
            <w:r w:rsidRPr="006E07EC">
              <w:rPr>
                <w:rFonts w:ascii="Times New Roman" w:hAnsi="Times New Roman" w:cs="Times New Roman"/>
                <w:b/>
              </w:rPr>
              <w:t>Budget (US$)</w:t>
            </w:r>
          </w:p>
        </w:tc>
        <w:tc>
          <w:tcPr>
            <w:tcW w:w="2358" w:type="dxa"/>
          </w:tcPr>
          <w:p w14:paraId="59572DD1" w:rsidR="00133632" w:rsidRPr="006E07EC" w:rsidRDefault="00133632" w:rsidP="009C3E04">
            <w:pPr>
              <w:rPr>
                <w:rFonts w:ascii="Times New Roman" w:hAnsi="Times New Roman" w:cs="Times New Roman"/>
                <w:b/>
              </w:rPr>
            </w:pPr>
            <w:r w:rsidRPr="006E07EC">
              <w:rPr>
                <w:rFonts w:ascii="Times New Roman" w:hAnsi="Times New Roman" w:cs="Times New Roman"/>
                <w:b/>
              </w:rPr>
              <w:t>Percentage of GEF</w:t>
            </w:r>
          </w:p>
          <w:p w14:paraId="723035E2" w:rsidR="00133632" w:rsidRPr="006E07EC" w:rsidRDefault="00133632" w:rsidP="009C3E04">
            <w:pPr>
              <w:rPr>
                <w:rFonts w:ascii="Times New Roman" w:hAnsi="Times New Roman" w:cs="Times New Roman"/>
                <w:b/>
              </w:rPr>
            </w:pPr>
            <w:r w:rsidRPr="006E07EC">
              <w:rPr>
                <w:rFonts w:ascii="Times New Roman" w:hAnsi="Times New Roman" w:cs="Times New Roman"/>
                <w:b/>
              </w:rPr>
              <w:t>Total Budget</w:t>
            </w:r>
          </w:p>
        </w:tc>
      </w:tr>
      <w:tr w14:paraId="4C5DDFF2" w:rsidR="00133632" w:rsidRPr="006E07EC" w:rsidTr="00005220">
        <w:tc>
          <w:tcPr>
            <w:tcW w:w="4878" w:type="dxa"/>
          </w:tcPr>
          <w:p w14:paraId="5E9CE779" w:rsidR="00133632" w:rsidRPr="006E07EC" w:rsidRDefault="00133632" w:rsidP="009C3E04">
            <w:pPr>
              <w:rPr>
                <w:rFonts w:ascii="Times New Roman" w:hAnsi="Times New Roman" w:cs="Times New Roman"/>
              </w:rPr>
            </w:pPr>
          </w:p>
          <w:p w14:paraId="5D399531" w:rsidR="00133632" w:rsidRPr="006E07EC" w:rsidRDefault="00133632" w:rsidP="009C3E04">
            <w:pPr>
              <w:rPr>
                <w:rFonts w:ascii="Times New Roman" w:hAnsi="Times New Roman" w:cs="Times New Roman"/>
              </w:rPr>
            </w:pPr>
            <w:r w:rsidRPr="006E07EC">
              <w:rPr>
                <w:rFonts w:ascii="Times New Roman" w:hAnsi="Times New Roman" w:cs="Times New Roman"/>
              </w:rPr>
              <w:t xml:space="preserve">Outcome #1 Improved management effectiveness of existing and new protected areas. </w:t>
            </w:r>
          </w:p>
          <w:p w14:paraId="266DBCD2" w:rsidR="00133632" w:rsidRPr="006E07EC" w:rsidRDefault="00133632" w:rsidP="009C3E04">
            <w:pPr>
              <w:rPr>
                <w:rFonts w:ascii="Times New Roman" w:hAnsi="Times New Roman" w:cs="Times New Roman"/>
              </w:rPr>
            </w:pPr>
          </w:p>
        </w:tc>
        <w:tc>
          <w:tcPr>
            <w:tcW w:w="2340" w:type="dxa"/>
          </w:tcPr>
          <w:p w14:paraId="03B2A726" w:rsidR="00133632" w:rsidRPr="006E07EC" w:rsidRDefault="00133632" w:rsidP="009C3E04">
            <w:pPr>
              <w:rPr>
                <w:rFonts w:ascii="Times New Roman" w:hAnsi="Times New Roman" w:cs="Times New Roman"/>
              </w:rPr>
            </w:pPr>
          </w:p>
        </w:tc>
        <w:tc>
          <w:tcPr>
            <w:tcW w:w="2358" w:type="dxa"/>
          </w:tcPr>
          <w:p w14:paraId="22B7A10F" w:rsidR="00133632" w:rsidRPr="006E07EC" w:rsidRDefault="00133632" w:rsidP="009C3E04">
            <w:pPr>
              <w:rPr>
                <w:rFonts w:ascii="Times New Roman" w:hAnsi="Times New Roman" w:cs="Times New Roman"/>
              </w:rPr>
            </w:pPr>
          </w:p>
        </w:tc>
      </w:tr>
      <w:tr w14:paraId="33630247" w:rsidR="00133632" w:rsidRPr="00DC4545" w:rsidTr="00005220">
        <w:tc>
          <w:tcPr>
            <w:tcW w:w="4878" w:type="dxa"/>
          </w:tcPr>
          <w:p w14:paraId="7BD83863" w:rsidR="00133632" w:rsidRPr="006E07EC" w:rsidRDefault="00133632" w:rsidP="009C3E04">
            <w:pPr>
              <w:rPr>
                <w:rFonts w:ascii="Times New Roman" w:hAnsi="Times New Roman" w:cs="Times New Roman"/>
              </w:rPr>
            </w:pPr>
          </w:p>
          <w:p w14:paraId="17A80668" w:rsidR="00133632" w:rsidRPr="00DC4545" w:rsidRDefault="00133632" w:rsidP="009C3E04">
            <w:pPr>
              <w:rPr>
                <w:rFonts w:ascii="Times New Roman" w:hAnsi="Times New Roman" w:cs="Times New Roman"/>
              </w:rPr>
            </w:pPr>
            <w:r w:rsidRPr="006E07EC">
              <w:rPr>
                <w:rFonts w:ascii="Times New Roman" w:hAnsi="Times New Roman" w:cs="Times New Roman"/>
              </w:rPr>
              <w:t>Outcome #2 Integrated landscape management practices adopted by local communities with increased investment in integrated landscape management.</w:t>
            </w:r>
            <w:r w:rsidRPr="00DC4545">
              <w:rPr>
                <w:rFonts w:ascii="Times New Roman" w:hAnsi="Times New Roman" w:cs="Times New Roman"/>
              </w:rPr>
              <w:t xml:space="preserve"> </w:t>
            </w:r>
          </w:p>
          <w:p w14:paraId="797445BA" w:rsidR="00133632" w:rsidRPr="00DC4545" w:rsidRDefault="00133632" w:rsidP="009C3E04">
            <w:pPr>
              <w:rPr>
                <w:rFonts w:ascii="Times New Roman" w:hAnsi="Times New Roman" w:cs="Times New Roman"/>
              </w:rPr>
            </w:pPr>
          </w:p>
        </w:tc>
        <w:tc>
          <w:tcPr>
            <w:tcW w:w="2340" w:type="dxa"/>
          </w:tcPr>
          <w:p w14:paraId="4CE4D6A2" w:rsidR="00133632" w:rsidRPr="00DC4545" w:rsidRDefault="00133632" w:rsidP="009C3E04">
            <w:pPr>
              <w:rPr>
                <w:rFonts w:ascii="Times New Roman" w:hAnsi="Times New Roman" w:cs="Times New Roman"/>
              </w:rPr>
            </w:pPr>
          </w:p>
        </w:tc>
        <w:tc>
          <w:tcPr>
            <w:tcW w:w="2358" w:type="dxa"/>
          </w:tcPr>
          <w:p w14:paraId="50FB08B6" w:rsidR="00133632" w:rsidRPr="00DC4545" w:rsidRDefault="00133632" w:rsidP="009C3E04">
            <w:pPr>
              <w:rPr>
                <w:rFonts w:ascii="Times New Roman" w:hAnsi="Times New Roman" w:cs="Times New Roman"/>
              </w:rPr>
            </w:pPr>
          </w:p>
        </w:tc>
      </w:tr>
      <w:tr w14:paraId="0879D3FD" w:rsidR="00133632" w:rsidRPr="00DC4545" w:rsidTr="00005220">
        <w:tc>
          <w:tcPr>
            <w:tcW w:w="4878" w:type="dxa"/>
          </w:tcPr>
          <w:p w14:paraId="18E6E4BA" w:rsidR="00133632" w:rsidRPr="00DC4545" w:rsidRDefault="00133632" w:rsidP="009C3E04">
            <w:pPr>
              <w:rPr>
                <w:rFonts w:ascii="Times New Roman" w:hAnsi="Times New Roman" w:cs="Times New Roman"/>
              </w:rPr>
            </w:pPr>
          </w:p>
          <w:p w14:paraId="1BA35B35" w:rsidR="00133632" w:rsidRPr="00DC4545" w:rsidRDefault="00133632" w:rsidP="009C3E04">
            <w:pPr>
              <w:rPr>
                <w:rFonts w:ascii="Times New Roman" w:hAnsi="Times New Roman" w:cs="Times New Roman"/>
              </w:rPr>
            </w:pPr>
            <w:r w:rsidRPr="00DC4545">
              <w:rPr>
                <w:rFonts w:ascii="Times New Roman" w:hAnsi="Times New Roman" w:cs="Times New Roman"/>
              </w:rPr>
              <w:t xml:space="preserve">Project Management </w:t>
            </w:r>
          </w:p>
          <w:p w14:paraId="26D1959A" w:rsidR="00133632" w:rsidRPr="00DC4545" w:rsidRDefault="00133632" w:rsidP="009C3E04">
            <w:pPr>
              <w:rPr>
                <w:rFonts w:ascii="Times New Roman" w:hAnsi="Times New Roman" w:cs="Times New Roman"/>
              </w:rPr>
            </w:pPr>
          </w:p>
        </w:tc>
        <w:tc>
          <w:tcPr>
            <w:tcW w:w="2340" w:type="dxa"/>
          </w:tcPr>
          <w:p w14:paraId="0378BDC2" w:rsidR="00133632" w:rsidRPr="00DC4545" w:rsidRDefault="00133632" w:rsidP="009C3E04">
            <w:pPr>
              <w:rPr>
                <w:rFonts w:ascii="Times New Roman" w:hAnsi="Times New Roman" w:cs="Times New Roman"/>
              </w:rPr>
            </w:pPr>
          </w:p>
        </w:tc>
        <w:tc>
          <w:tcPr>
            <w:tcW w:w="2358" w:type="dxa"/>
          </w:tcPr>
          <w:p w14:paraId="7AC83F21" w:rsidR="00133632" w:rsidRPr="00DC4545" w:rsidRDefault="00133632" w:rsidP="009C3E04">
            <w:pPr>
              <w:rPr>
                <w:rFonts w:ascii="Times New Roman" w:hAnsi="Times New Roman" w:cs="Times New Roman"/>
              </w:rPr>
            </w:pPr>
          </w:p>
        </w:tc>
      </w:tr>
      <w:tr w14:paraId="04BA762A" w:rsidR="00133632" w:rsidRPr="00DC4545" w:rsidTr="00005220">
        <w:tc>
          <w:tcPr>
            <w:tcW w:w="4878" w:type="dxa"/>
          </w:tcPr>
          <w:p w14:paraId="4EF077AE" w:rsidR="00133632" w:rsidRPr="00DC4545" w:rsidRDefault="00133632" w:rsidP="009C3E04">
            <w:pPr>
              <w:rPr>
                <w:rFonts w:ascii="Times New Roman" w:hAnsi="Times New Roman" w:cs="Times New Roman"/>
              </w:rPr>
            </w:pPr>
          </w:p>
          <w:p w14:paraId="2F53D559" w:rsidR="00133632" w:rsidRPr="00DC4545" w:rsidRDefault="00133632" w:rsidP="009C3E04">
            <w:pPr>
              <w:rPr>
                <w:rFonts w:ascii="Times New Roman" w:hAnsi="Times New Roman" w:cs="Times New Roman"/>
              </w:rPr>
            </w:pPr>
            <w:r w:rsidRPr="00DC4545">
              <w:rPr>
                <w:rFonts w:ascii="Times New Roman" w:hAnsi="Times New Roman" w:cs="Times New Roman"/>
              </w:rPr>
              <w:t xml:space="preserve">Total </w:t>
            </w:r>
          </w:p>
        </w:tc>
        <w:tc>
          <w:tcPr>
            <w:tcW w:w="2340" w:type="dxa"/>
          </w:tcPr>
          <w:p w14:paraId="24A79101" w:rsidR="00133632" w:rsidRPr="00DC4545" w:rsidRDefault="00133632" w:rsidP="009C3E04">
            <w:pPr>
              <w:rPr>
                <w:rFonts w:ascii="Times New Roman" w:hAnsi="Times New Roman" w:cs="Times New Roman"/>
              </w:rPr>
            </w:pPr>
          </w:p>
          <w:p w14:paraId="3D9599D3" w:rsidR="00133632" w:rsidRPr="00DC4545" w:rsidRDefault="00133632" w:rsidP="009C3E04">
            <w:pPr>
              <w:rPr>
                <w:rFonts w:ascii="Times New Roman" w:hAnsi="Times New Roman" w:cs="Times New Roman"/>
              </w:rPr>
            </w:pPr>
            <w:r w:rsidRPr="00DC4545">
              <w:rPr>
                <w:rFonts w:ascii="Times New Roman" w:hAnsi="Times New Roman" w:cs="Times New Roman"/>
              </w:rPr>
              <w:t>3,031,666</w:t>
            </w:r>
          </w:p>
        </w:tc>
        <w:tc>
          <w:tcPr>
            <w:tcW w:w="2358" w:type="dxa"/>
          </w:tcPr>
          <w:p w14:paraId="32A31682" w:rsidR="00133632" w:rsidRPr="00DC4545" w:rsidRDefault="00133632" w:rsidP="009C3E04">
            <w:pPr>
              <w:rPr>
                <w:rFonts w:ascii="Times New Roman" w:hAnsi="Times New Roman" w:cs="Times New Roman"/>
              </w:rPr>
            </w:pPr>
          </w:p>
          <w:p w14:paraId="089FE154" w:rsidR="00133632" w:rsidRPr="00DC4545" w:rsidRDefault="00133632" w:rsidP="009C3E04">
            <w:pPr>
              <w:rPr>
                <w:rFonts w:ascii="Times New Roman" w:hAnsi="Times New Roman" w:cs="Times New Roman"/>
              </w:rPr>
            </w:pPr>
            <w:r w:rsidRPr="00DC4545">
              <w:rPr>
                <w:rFonts w:ascii="Times New Roman" w:hAnsi="Times New Roman" w:cs="Times New Roman"/>
              </w:rPr>
              <w:t>100</w:t>
            </w:r>
          </w:p>
        </w:tc>
      </w:tr>
    </w:tbl>
    <w:p w14:paraId="22290F3B" w:rsidR="00133632" w:rsidRPr="00DC4545" w:rsidRDefault="00133632" w:rsidP="009C3E04">
      <w:pPr>
        <w:rPr>
          <w:rFonts w:ascii="Times New Roman" w:hAnsi="Times New Roman" w:cs="Times New Roman"/>
        </w:rPr>
      </w:pPr>
    </w:p>
    <w:p w14:paraId="0D50855F" w:rsidR="00133632" w:rsidRPr="00DC4545" w:rsidRDefault="00133632" w:rsidP="009C3E04">
      <w:pPr>
        <w:pStyle w:val="Heading2"/>
      </w:pPr>
      <w:bookmarkStart w:id="40" w:name="_Toc389820970"/>
      <w:r w:rsidRPr="00DC4545">
        <w:t>2.7 Cost Effectiveness</w:t>
      </w:r>
      <w:bookmarkEnd w:id="40"/>
    </w:p>
    <w:p w14:paraId="150E23FC" w:rsidR="0013363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w:t>
      </w:r>
      <w:r w:rsidR="00EF6815">
        <w:rPr>
          <w:rFonts w:ascii="Times New Roman" w:hAnsi="Times New Roman" w:cs="Times New Roman"/>
        </w:rPr>
        <w:t xml:space="preserve">Project promotes a </w:t>
      </w:r>
      <w:r w:rsidRPr="00DC4545">
        <w:rPr>
          <w:rFonts w:ascii="Times New Roman" w:hAnsi="Times New Roman" w:cs="Times New Roman"/>
        </w:rPr>
        <w:t>strategy to control forest loss on productive landscapes by piloting SFM/REDD+ and SLM initiatives and BD conservation activities that will increase ecosystems connectivity on both the Grenada landscape in general and pilot area, Beausejour, in particular</w:t>
      </w:r>
      <w:r w:rsidR="00EF6815">
        <w:rPr>
          <w:rFonts w:ascii="Times New Roman" w:hAnsi="Times New Roman" w:cs="Times New Roman"/>
        </w:rPr>
        <w:t>. This, in turn, will be</w:t>
      </w:r>
      <w:r w:rsidRPr="00DC4545">
        <w:rPr>
          <w:rFonts w:ascii="Times New Roman" w:hAnsi="Times New Roman" w:cs="Times New Roman"/>
        </w:rPr>
        <w:t xml:space="preserve"> supported by a strengthened regulatory and institutional framework</w:t>
      </w:r>
      <w:r w:rsidR="00EF6815">
        <w:rPr>
          <w:rFonts w:ascii="Times New Roman" w:hAnsi="Times New Roman" w:cs="Times New Roman"/>
        </w:rPr>
        <w:t>. This two-pronged approach</w:t>
      </w:r>
      <w:r w:rsidRPr="00DC4545">
        <w:rPr>
          <w:rFonts w:ascii="Times New Roman" w:hAnsi="Times New Roman" w:cs="Times New Roman"/>
        </w:rPr>
        <w:t xml:space="preserve"> is </w:t>
      </w:r>
      <w:r w:rsidR="00EF6815">
        <w:rPr>
          <w:rFonts w:ascii="Times New Roman" w:hAnsi="Times New Roman" w:cs="Times New Roman"/>
        </w:rPr>
        <w:t>deemed</w:t>
      </w:r>
      <w:r w:rsidRPr="00DC4545">
        <w:rPr>
          <w:rFonts w:ascii="Times New Roman" w:hAnsi="Times New Roman" w:cs="Times New Roman"/>
        </w:rPr>
        <w:t xml:space="preserve"> to be far more cost-effective in the short and long-term tha</w:t>
      </w:r>
      <w:r w:rsidR="00D25036">
        <w:rPr>
          <w:rFonts w:ascii="Times New Roman" w:hAnsi="Times New Roman" w:cs="Times New Roman"/>
        </w:rPr>
        <w:t>n</w:t>
      </w:r>
      <w:r w:rsidRPr="00DC4545">
        <w:rPr>
          <w:rFonts w:ascii="Times New Roman" w:hAnsi="Times New Roman" w:cs="Times New Roman"/>
        </w:rPr>
        <w:t xml:space="preserve"> the alternative approach in which disparate and uncoordinated efforts limited by insufficient availability of planning, management and monitoring tools and weak institutional capacities prevail. </w:t>
      </w:r>
      <w:r w:rsidR="00522A74">
        <w:rPr>
          <w:rFonts w:ascii="Times New Roman" w:hAnsi="Times New Roman" w:cs="Times New Roman"/>
        </w:rPr>
        <w:t>The capacities of n</w:t>
      </w:r>
      <w:r w:rsidRPr="00DC4545">
        <w:rPr>
          <w:rFonts w:ascii="Times New Roman" w:hAnsi="Times New Roman" w:cs="Times New Roman"/>
        </w:rPr>
        <w:t xml:space="preserve">ational and local community </w:t>
      </w:r>
      <w:r w:rsidR="00522A74">
        <w:rPr>
          <w:rFonts w:ascii="Times New Roman" w:hAnsi="Times New Roman" w:cs="Times New Roman"/>
        </w:rPr>
        <w:t>stakeholders</w:t>
      </w:r>
      <w:r w:rsidR="00EF6815">
        <w:rPr>
          <w:rFonts w:ascii="Times New Roman" w:hAnsi="Times New Roman" w:cs="Times New Roman"/>
        </w:rPr>
        <w:t xml:space="preserve"> will be strengthened</w:t>
      </w:r>
      <w:r w:rsidRPr="00DC4545">
        <w:rPr>
          <w:rFonts w:ascii="Times New Roman" w:hAnsi="Times New Roman" w:cs="Times New Roman"/>
        </w:rPr>
        <w:t xml:space="preserve"> for the application </w:t>
      </w:r>
      <w:r w:rsidR="00EF6815">
        <w:rPr>
          <w:rFonts w:ascii="Times New Roman" w:hAnsi="Times New Roman" w:cs="Times New Roman"/>
        </w:rPr>
        <w:t>of conservation tools</w:t>
      </w:r>
      <w:r w:rsidRPr="00DC4545">
        <w:rPr>
          <w:rFonts w:ascii="Times New Roman" w:hAnsi="Times New Roman" w:cs="Times New Roman"/>
        </w:rPr>
        <w:t xml:space="preserve"> within a framework of effective institutional coordination backed by inter-institutional collaboration, co-management mechanisms and improved institutional capacities</w:t>
      </w:r>
      <w:r w:rsidR="00EF6815">
        <w:rPr>
          <w:rFonts w:ascii="Times New Roman" w:hAnsi="Times New Roman" w:cs="Times New Roman"/>
        </w:rPr>
        <w:t>.</w:t>
      </w:r>
      <w:r w:rsidRPr="00DC4545">
        <w:rPr>
          <w:rFonts w:ascii="Times New Roman" w:hAnsi="Times New Roman" w:cs="Times New Roman"/>
        </w:rPr>
        <w:t xml:space="preserve"> </w:t>
      </w:r>
      <w:r w:rsidR="00EF6815">
        <w:rPr>
          <w:rFonts w:ascii="Times New Roman" w:hAnsi="Times New Roman" w:cs="Times New Roman"/>
        </w:rPr>
        <w:t>T</w:t>
      </w:r>
      <w:r w:rsidRPr="00DC4545">
        <w:rPr>
          <w:rFonts w:ascii="Times New Roman" w:hAnsi="Times New Roman" w:cs="Times New Roman"/>
        </w:rPr>
        <w:t xml:space="preserve">he GEF alternative will </w:t>
      </w:r>
      <w:r w:rsidR="00EF6815">
        <w:rPr>
          <w:rFonts w:ascii="Times New Roman" w:hAnsi="Times New Roman" w:cs="Times New Roman"/>
        </w:rPr>
        <w:t>thus provide</w:t>
      </w:r>
      <w:r w:rsidRPr="00DC4545">
        <w:rPr>
          <w:rFonts w:ascii="Times New Roman" w:hAnsi="Times New Roman" w:cs="Times New Roman"/>
        </w:rPr>
        <w:t xml:space="preserve"> for the removal of barriers that currently prevent Grenada from </w:t>
      </w:r>
      <w:r w:rsidR="0044507A">
        <w:rPr>
          <w:rFonts w:ascii="Times New Roman" w:hAnsi="Times New Roman" w:cs="Times New Roman"/>
        </w:rPr>
        <w:t>practicing</w:t>
      </w:r>
      <w:r w:rsidRPr="00DC4545">
        <w:rPr>
          <w:rFonts w:ascii="Times New Roman" w:hAnsi="Times New Roman" w:cs="Times New Roman"/>
        </w:rPr>
        <w:t xml:space="preserve"> effective land, coastal and forest management and BD conservation strategies in order to secure the flow of multiple ecosystems services. </w:t>
      </w:r>
    </w:p>
    <w:p w14:paraId="2F156985" w:rsidR="00522A74" w:rsidRPr="00941056" w:rsidRDefault="00522A74"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941056">
        <w:rPr>
          <w:rFonts w:ascii="Times New Roman" w:hAnsi="Times New Roman" w:cs="Times New Roman"/>
        </w:rPr>
        <w:t xml:space="preserve">By improving the quality of baseline information on ecological conditions, the project will help PA managers </w:t>
      </w:r>
      <w:r>
        <w:rPr>
          <w:rFonts w:ascii="Times New Roman" w:hAnsi="Times New Roman" w:cs="Times New Roman"/>
        </w:rPr>
        <w:t>to improve the quality and cost-</w:t>
      </w:r>
      <w:r w:rsidRPr="00941056">
        <w:rPr>
          <w:rFonts w:ascii="Times New Roman" w:hAnsi="Times New Roman" w:cs="Times New Roman"/>
        </w:rPr>
        <w:t>effectiv</w:t>
      </w:r>
      <w:r>
        <w:rPr>
          <w:rFonts w:ascii="Times New Roman" w:hAnsi="Times New Roman" w:cs="Times New Roman"/>
        </w:rPr>
        <w:t>e</w:t>
      </w:r>
      <w:r w:rsidRPr="00941056">
        <w:rPr>
          <w:rFonts w:ascii="Times New Roman" w:hAnsi="Times New Roman" w:cs="Times New Roman"/>
        </w:rPr>
        <w:t>ness of their management decisions. The project also will s</w:t>
      </w:r>
      <w:r>
        <w:rPr>
          <w:rFonts w:ascii="Times New Roman" w:hAnsi="Times New Roman" w:cs="Times New Roman"/>
        </w:rPr>
        <w:t>upport cost-</w:t>
      </w:r>
      <w:r w:rsidRPr="00941056">
        <w:rPr>
          <w:rFonts w:ascii="Times New Roman" w:hAnsi="Times New Roman" w:cs="Times New Roman"/>
        </w:rPr>
        <w:t xml:space="preserve">effectiveness by jointly implementing ecological baseline studies and conservation programs for </w:t>
      </w:r>
      <w:r>
        <w:rPr>
          <w:rFonts w:ascii="Times New Roman" w:hAnsi="Times New Roman" w:cs="Times New Roman"/>
        </w:rPr>
        <w:t>TPAs and MPAs by both the Division of Forestry and the Division of Fisheries</w:t>
      </w:r>
      <w:r w:rsidRPr="00941056">
        <w:rPr>
          <w:rFonts w:ascii="Times New Roman" w:hAnsi="Times New Roman" w:cs="Times New Roman"/>
        </w:rPr>
        <w:t xml:space="preserve">, thereby avoiding any duplication of effort and promoting the sharing of equipment, materials and other resources.  Project capacity building of </w:t>
      </w:r>
      <w:r>
        <w:rPr>
          <w:rFonts w:ascii="Times New Roman" w:hAnsi="Times New Roman" w:cs="Times New Roman"/>
        </w:rPr>
        <w:t>PA</w:t>
      </w:r>
      <w:r w:rsidRPr="00941056">
        <w:rPr>
          <w:rFonts w:ascii="Times New Roman" w:hAnsi="Times New Roman" w:cs="Times New Roman"/>
        </w:rPr>
        <w:t xml:space="preserve"> management staff will ensure that the productivity and effectiveness of the human resources available to support each PA site is enhanced and optimally organized.  Overall, the concurrent establishment and operationalization of </w:t>
      </w:r>
      <w:r>
        <w:rPr>
          <w:rFonts w:ascii="Times New Roman" w:hAnsi="Times New Roman" w:cs="Times New Roman"/>
        </w:rPr>
        <w:t>additional</w:t>
      </w:r>
      <w:r w:rsidRPr="00941056">
        <w:rPr>
          <w:rFonts w:ascii="Times New Roman" w:hAnsi="Times New Roman" w:cs="Times New Roman"/>
        </w:rPr>
        <w:t xml:space="preserve"> </w:t>
      </w:r>
      <w:r>
        <w:rPr>
          <w:rFonts w:ascii="Times New Roman" w:hAnsi="Times New Roman" w:cs="Times New Roman"/>
        </w:rPr>
        <w:t>T</w:t>
      </w:r>
      <w:r w:rsidRPr="00941056">
        <w:rPr>
          <w:rFonts w:ascii="Times New Roman" w:hAnsi="Times New Roman" w:cs="Times New Roman"/>
        </w:rPr>
        <w:t>PA</w:t>
      </w:r>
      <w:r>
        <w:rPr>
          <w:rFonts w:ascii="Times New Roman" w:hAnsi="Times New Roman" w:cs="Times New Roman"/>
        </w:rPr>
        <w:t xml:space="preserve"> and MPA</w:t>
      </w:r>
      <w:r w:rsidRPr="00941056">
        <w:rPr>
          <w:rFonts w:ascii="Times New Roman" w:hAnsi="Times New Roman" w:cs="Times New Roman"/>
        </w:rPr>
        <w:t xml:space="preserve"> units will produce significant benefits in terms of the sharing of resources and expertise among the different sites. </w:t>
      </w:r>
    </w:p>
    <w:p w14:paraId="6B49ACE3" w:rsidR="00133632" w:rsidRDefault="001048F3"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1048F3">
        <w:rPr>
          <w:rFonts w:ascii="Times New Roman" w:hAnsi="Times New Roman" w:cs="Times New Roman"/>
        </w:rPr>
        <w:t xml:space="preserve">Cost-effectiveness will be promoted by working with and through existing CBOs/NGOs that already have established organizational and logistical capacities in the intervention sites. Furthermore, through forest initiatives administrated by FDNP, the country has developed a legal and operational framework that directly benefits the local communities that promote reforestation, natural regeneration, agroforestry, and forest management for production and conservation.  The Project will promote investments as part of the strategy designed for the pilot project so that these incentives are effectively used in areas with the highest threat of deforestation or in areas with high rates of C sequestration to maximize their impact, while reducing costs by using well-established operational procedures.  The project will promote SFM/REDD+, SLM and BD conservation and CC adaptation means through community-based incentives for Carbon sequestration, especially through the pilot project initiative. The project will also promote the application of principles, methodologies and priorities anticipated through the R-PP and its subsequent National REDD+ Strategy, so as to enhance the baseline and avoid duplication of efforts, thereby optimizing the use of limited available resources.  </w:t>
      </w:r>
      <w:r w:rsidR="00133632" w:rsidRPr="00DC4545">
        <w:rPr>
          <w:rFonts w:ascii="Times New Roman" w:hAnsi="Times New Roman" w:cs="Times New Roman"/>
        </w:rPr>
        <w:t xml:space="preserve"> </w:t>
      </w:r>
    </w:p>
    <w:p w14:paraId="664B2B89" w:rsidR="00133632" w:rsidRPr="00DC4545" w:rsidRDefault="00941056"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Through increased management capacity and implementation of SLM and SFM practices, the project will help avoid</w:t>
      </w:r>
      <w:r w:rsidR="004915C4" w:rsidRPr="004915C4">
        <w:rPr>
          <w:rFonts w:ascii="Times New Roman" w:hAnsi="Times New Roman" w:cs="Times New Roman"/>
        </w:rPr>
        <w:t xml:space="preserve"> deforestation</w:t>
      </w:r>
      <w:r>
        <w:rPr>
          <w:rFonts w:ascii="Times New Roman" w:hAnsi="Times New Roman" w:cs="Times New Roman"/>
        </w:rPr>
        <w:t xml:space="preserve"> in </w:t>
      </w:r>
      <w:r w:rsidR="00522A74">
        <w:rPr>
          <w:rFonts w:ascii="Times New Roman" w:hAnsi="Times New Roman" w:cs="Times New Roman"/>
        </w:rPr>
        <w:t>approximately 337 has.</w:t>
      </w:r>
      <w:r w:rsidR="004915C4" w:rsidRPr="004915C4">
        <w:rPr>
          <w:rFonts w:ascii="Times New Roman" w:hAnsi="Times New Roman" w:cs="Times New Roman"/>
        </w:rPr>
        <w:t xml:space="preserve">, thereby avoiding losses that would have occurred under the alternative scenario </w:t>
      </w:r>
      <w:r w:rsidR="00522A74">
        <w:rPr>
          <w:rFonts w:ascii="Times New Roman" w:hAnsi="Times New Roman" w:cs="Times New Roman"/>
        </w:rPr>
        <w:t>that</w:t>
      </w:r>
      <w:r w:rsidR="004915C4" w:rsidRPr="004915C4">
        <w:rPr>
          <w:rFonts w:ascii="Times New Roman" w:hAnsi="Times New Roman" w:cs="Times New Roman"/>
        </w:rPr>
        <w:t xml:space="preserve"> lack</w:t>
      </w:r>
      <w:r w:rsidR="00522A74">
        <w:rPr>
          <w:rFonts w:ascii="Times New Roman" w:hAnsi="Times New Roman" w:cs="Times New Roman"/>
        </w:rPr>
        <w:t>s</w:t>
      </w:r>
      <w:r w:rsidR="004915C4" w:rsidRPr="004915C4">
        <w:rPr>
          <w:rFonts w:ascii="Times New Roman" w:hAnsi="Times New Roman" w:cs="Times New Roman"/>
        </w:rPr>
        <w:t xml:space="preserve"> effective mechanisms to reduce deforestation.  Similarly, the alternative scenario to reduce LD and prevent desertification does not consider effective planning for SFM and SLM in the short term.  The GEF alternative, through the development of SFM/SLM plans, will allow for the incorporation of SFM/SLM principles in one watershed and up to 13 TPA management plans, thereby reducing pressure on forest and marine ecosystems and generating sustainable flow of dry forest ecosystem services, including enhancement of C stocks, improved soils and hydrological capacity, increased productivity and the livelihoods of the rural and urban communities in the reg</w:t>
      </w:r>
      <w:r w:rsidR="004915C4">
        <w:rPr>
          <w:rFonts w:ascii="Times New Roman" w:hAnsi="Times New Roman" w:cs="Times New Roman"/>
        </w:rPr>
        <w:t>ion, and quality habitat for BD</w:t>
      </w:r>
      <w:r w:rsidR="00133632" w:rsidRPr="00DC4545">
        <w:rPr>
          <w:rFonts w:ascii="Times New Roman" w:hAnsi="Times New Roman" w:cs="Times New Roman"/>
        </w:rPr>
        <w:t xml:space="preserve">. </w:t>
      </w:r>
    </w:p>
    <w:p w14:paraId="241F2796" w:rsidR="00133632" w:rsidRPr="00DC4545" w:rsidRDefault="00133632" w:rsidP="009C3E04">
      <w:pPr>
        <w:pStyle w:val="Heading2"/>
      </w:pPr>
      <w:bookmarkStart w:id="41" w:name="_Toc389820971"/>
      <w:r w:rsidRPr="00DC4545">
        <w:t>2.8 Sustainability</w:t>
      </w:r>
      <w:bookmarkEnd w:id="41"/>
      <w:r w:rsidRPr="00DC4545">
        <w:t xml:space="preserve"> </w:t>
      </w:r>
    </w:p>
    <w:p w14:paraId="13BEB3D8" w:rsidR="00133632" w:rsidRPr="00DC4545" w:rsidRDefault="00133632" w:rsidP="009C3E04">
      <w:pPr>
        <w:pStyle w:val="Heading4"/>
      </w:pPr>
      <w:r w:rsidRPr="00DC4545">
        <w:t xml:space="preserve">Ecological Sustainability </w:t>
      </w:r>
    </w:p>
    <w:p w14:paraId="0515876F"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ecological sustainability of the Rid</w:t>
      </w:r>
      <w:r w:rsidR="001260FF">
        <w:rPr>
          <w:rFonts w:ascii="Times New Roman" w:hAnsi="Times New Roman" w:cs="Times New Roman"/>
        </w:rPr>
        <w:t>ge to Reef project with respect</w:t>
      </w:r>
      <w:r w:rsidRPr="00DC4545">
        <w:rPr>
          <w:rFonts w:ascii="Times New Roman" w:hAnsi="Times New Roman" w:cs="Times New Roman"/>
        </w:rPr>
        <w:t xml:space="preserve"> to the BD and ecosystem functions within and around PAs will be </w:t>
      </w:r>
      <w:r w:rsidR="001260FF">
        <w:rPr>
          <w:rFonts w:ascii="Times New Roman" w:hAnsi="Times New Roman" w:cs="Times New Roman"/>
        </w:rPr>
        <w:t>achieved through implementation</w:t>
      </w:r>
      <w:r w:rsidRPr="00DC4545">
        <w:rPr>
          <w:rFonts w:ascii="Times New Roman" w:hAnsi="Times New Roman" w:cs="Times New Roman"/>
        </w:rPr>
        <w:t xml:space="preserve"> of a suite of activities that </w:t>
      </w:r>
      <w:r w:rsidR="001260FF">
        <w:rPr>
          <w:rFonts w:ascii="Times New Roman" w:hAnsi="Times New Roman" w:cs="Times New Roman"/>
        </w:rPr>
        <w:t>will</w:t>
      </w:r>
      <w:r w:rsidRPr="00DC4545">
        <w:rPr>
          <w:rFonts w:ascii="Times New Roman" w:hAnsi="Times New Roman" w:cs="Times New Roman"/>
        </w:rPr>
        <w:t xml:space="preserve"> enhance</w:t>
      </w:r>
      <w:r w:rsidR="001260FF">
        <w:rPr>
          <w:rFonts w:ascii="Times New Roman" w:hAnsi="Times New Roman" w:cs="Times New Roman"/>
        </w:rPr>
        <w:t xml:space="preserve"> rather than</w:t>
      </w:r>
      <w:r w:rsidRPr="00DC4545">
        <w:rPr>
          <w:rFonts w:ascii="Times New Roman" w:hAnsi="Times New Roman" w:cs="Times New Roman"/>
        </w:rPr>
        <w:t xml:space="preserve"> substitute institutionalized baseline activities by adopting SLM and SFM, LD mitigation and CC adaptation principles and practices that </w:t>
      </w:r>
      <w:r w:rsidR="00B02EEA">
        <w:rPr>
          <w:rFonts w:ascii="Times New Roman" w:hAnsi="Times New Roman" w:cs="Times New Roman"/>
        </w:rPr>
        <w:t>will extend</w:t>
      </w:r>
      <w:r w:rsidRPr="00DC4545">
        <w:rPr>
          <w:rFonts w:ascii="Times New Roman" w:hAnsi="Times New Roman" w:cs="Times New Roman"/>
        </w:rPr>
        <w:t xml:space="preserve"> to the long-term. To achieve this, the project will focus on hot-spots </w:t>
      </w:r>
      <w:r w:rsidR="00B02EEA">
        <w:rPr>
          <w:rFonts w:ascii="Times New Roman" w:hAnsi="Times New Roman" w:cs="Times New Roman"/>
        </w:rPr>
        <w:t>that are subject to severe</w:t>
      </w:r>
      <w:r w:rsidRPr="00DC4545">
        <w:rPr>
          <w:rFonts w:ascii="Times New Roman" w:hAnsi="Times New Roman" w:cs="Times New Roman"/>
        </w:rPr>
        <w:t xml:space="preserve"> threats while also using the pilot project watershed for focused demonstrations of co-management involving community-based vested interests together with Competent Authorities and </w:t>
      </w:r>
      <w:r w:rsidR="00B02EEA">
        <w:rPr>
          <w:rFonts w:ascii="Times New Roman" w:hAnsi="Times New Roman" w:cs="Times New Roman"/>
        </w:rPr>
        <w:t>NGO</w:t>
      </w:r>
      <w:r w:rsidRPr="00DC4545">
        <w:rPr>
          <w:rFonts w:ascii="Times New Roman" w:hAnsi="Times New Roman" w:cs="Times New Roman"/>
        </w:rPr>
        <w:t>s for applying the INRM approach to management and conservation. Co-management initiatives within the project are expected to lead to: rehabilitation of forested areas impacted by annual forest fires</w:t>
      </w:r>
      <w:r w:rsidR="00B02EEA">
        <w:rPr>
          <w:rFonts w:ascii="Times New Roman" w:hAnsi="Times New Roman" w:cs="Times New Roman"/>
        </w:rPr>
        <w:t>;</w:t>
      </w:r>
      <w:r w:rsidRPr="00DC4545">
        <w:rPr>
          <w:rFonts w:ascii="Times New Roman" w:hAnsi="Times New Roman" w:cs="Times New Roman"/>
        </w:rPr>
        <w:t xml:space="preserve"> recovery of forest</w:t>
      </w:r>
      <w:r w:rsidR="00B02EEA">
        <w:rPr>
          <w:rFonts w:ascii="Times New Roman" w:hAnsi="Times New Roman" w:cs="Times New Roman"/>
        </w:rPr>
        <w:t>ed areas</w:t>
      </w:r>
      <w:r w:rsidRPr="00DC4545">
        <w:rPr>
          <w:rFonts w:ascii="Times New Roman" w:hAnsi="Times New Roman" w:cs="Times New Roman"/>
        </w:rPr>
        <w:t xml:space="preserve"> impacted by slash and burn agriculture; recovery of degraded </w:t>
      </w:r>
      <w:r w:rsidR="00B02EEA">
        <w:rPr>
          <w:rFonts w:ascii="Times New Roman" w:hAnsi="Times New Roman" w:cs="Times New Roman"/>
        </w:rPr>
        <w:t xml:space="preserve">areas </w:t>
      </w:r>
      <w:r w:rsidRPr="00DC4545">
        <w:rPr>
          <w:rFonts w:ascii="Times New Roman" w:hAnsi="Times New Roman" w:cs="Times New Roman"/>
        </w:rPr>
        <w:t>due to exposure of steep landscapes</w:t>
      </w:r>
      <w:r w:rsidR="00B02EEA">
        <w:rPr>
          <w:rFonts w:ascii="Times New Roman" w:hAnsi="Times New Roman" w:cs="Times New Roman"/>
        </w:rPr>
        <w:t>;</w:t>
      </w:r>
      <w:r w:rsidRPr="00DC4545">
        <w:rPr>
          <w:rFonts w:ascii="Times New Roman" w:hAnsi="Times New Roman" w:cs="Times New Roman"/>
        </w:rPr>
        <w:t xml:space="preserve"> improved quality of water sources </w:t>
      </w:r>
      <w:r w:rsidR="00B02EEA">
        <w:rPr>
          <w:rFonts w:ascii="Times New Roman" w:hAnsi="Times New Roman" w:cs="Times New Roman"/>
        </w:rPr>
        <w:t xml:space="preserve">currently </w:t>
      </w:r>
      <w:r w:rsidRPr="00DC4545">
        <w:rPr>
          <w:rFonts w:ascii="Times New Roman" w:hAnsi="Times New Roman" w:cs="Times New Roman"/>
        </w:rPr>
        <w:t xml:space="preserve">overloaded by pollutants and sedimentation </w:t>
      </w:r>
      <w:r w:rsidR="00B02EEA">
        <w:rPr>
          <w:rFonts w:ascii="Times New Roman" w:hAnsi="Times New Roman" w:cs="Times New Roman"/>
        </w:rPr>
        <w:t xml:space="preserve">that </w:t>
      </w:r>
      <w:r w:rsidRPr="00DC4545">
        <w:rPr>
          <w:rFonts w:ascii="Times New Roman" w:hAnsi="Times New Roman" w:cs="Times New Roman"/>
        </w:rPr>
        <w:t xml:space="preserve">diminish the </w:t>
      </w:r>
      <w:r w:rsidR="00B02EEA">
        <w:rPr>
          <w:rFonts w:ascii="Times New Roman" w:hAnsi="Times New Roman" w:cs="Times New Roman"/>
        </w:rPr>
        <w:t>quality/availability</w:t>
      </w:r>
      <w:r w:rsidRPr="00DC4545">
        <w:rPr>
          <w:rFonts w:ascii="Times New Roman" w:hAnsi="Times New Roman" w:cs="Times New Roman"/>
        </w:rPr>
        <w:t xml:space="preserve"> of potable water</w:t>
      </w:r>
      <w:r w:rsidR="00B02EEA">
        <w:rPr>
          <w:rFonts w:ascii="Times New Roman" w:hAnsi="Times New Roman" w:cs="Times New Roman"/>
        </w:rPr>
        <w:t xml:space="preserve">; and decrease in </w:t>
      </w:r>
      <w:r w:rsidR="001C4D47">
        <w:rPr>
          <w:rFonts w:ascii="Times New Roman" w:hAnsi="Times New Roman" w:cs="Times New Roman"/>
        </w:rPr>
        <w:t>pollution/</w:t>
      </w:r>
      <w:r w:rsidR="00B02EEA">
        <w:rPr>
          <w:rFonts w:ascii="Times New Roman" w:hAnsi="Times New Roman" w:cs="Times New Roman"/>
        </w:rPr>
        <w:t xml:space="preserve">sedimentation </w:t>
      </w:r>
      <w:r w:rsidR="001C4D47">
        <w:rPr>
          <w:rFonts w:ascii="Times New Roman" w:hAnsi="Times New Roman" w:cs="Times New Roman"/>
        </w:rPr>
        <w:t>from upstream sources degrading</w:t>
      </w:r>
      <w:r w:rsidRPr="00DC4545">
        <w:rPr>
          <w:rFonts w:ascii="Times New Roman" w:hAnsi="Times New Roman" w:cs="Times New Roman"/>
        </w:rPr>
        <w:t xml:space="preserve"> “close-to-shore” marine ecosystems and habitats. </w:t>
      </w:r>
    </w:p>
    <w:p w14:paraId="05489319"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w:t>
      </w:r>
      <w:r w:rsidR="001C4D47">
        <w:rPr>
          <w:rFonts w:ascii="Times New Roman" w:hAnsi="Times New Roman" w:cs="Times New Roman"/>
        </w:rPr>
        <w:t>Project will</w:t>
      </w:r>
      <w:r w:rsidRPr="00DC4545">
        <w:rPr>
          <w:rFonts w:ascii="Times New Roman" w:hAnsi="Times New Roman" w:cs="Times New Roman"/>
        </w:rPr>
        <w:t xml:space="preserve"> enhance natural regeneration of forested landscapes, reforestation through agro-forestry systems, control o</w:t>
      </w:r>
      <w:r w:rsidR="001C4D47">
        <w:rPr>
          <w:rFonts w:ascii="Times New Roman" w:hAnsi="Times New Roman" w:cs="Times New Roman"/>
        </w:rPr>
        <w:t>f</w:t>
      </w:r>
      <w:r w:rsidRPr="00DC4545">
        <w:rPr>
          <w:rFonts w:ascii="Times New Roman" w:hAnsi="Times New Roman" w:cs="Times New Roman"/>
        </w:rPr>
        <w:t xml:space="preserve"> deforestation and systematical appl</w:t>
      </w:r>
      <w:r w:rsidR="006F1D0A">
        <w:rPr>
          <w:rFonts w:ascii="Times New Roman" w:hAnsi="Times New Roman" w:cs="Times New Roman"/>
        </w:rPr>
        <w:t>ication of</w:t>
      </w:r>
      <w:r w:rsidRPr="00DC4545">
        <w:rPr>
          <w:rFonts w:ascii="Times New Roman" w:hAnsi="Times New Roman" w:cs="Times New Roman"/>
        </w:rPr>
        <w:t xml:space="preserve"> SLM/SFM practices by adopting a </w:t>
      </w:r>
      <w:r w:rsidR="006F1D0A">
        <w:rPr>
          <w:rFonts w:ascii="Times New Roman" w:hAnsi="Times New Roman" w:cs="Times New Roman"/>
        </w:rPr>
        <w:t>“M</w:t>
      </w:r>
      <w:r w:rsidRPr="00DC4545">
        <w:rPr>
          <w:rFonts w:ascii="Times New Roman" w:hAnsi="Times New Roman" w:cs="Times New Roman"/>
        </w:rPr>
        <w:t>onitor</w:t>
      </w:r>
      <w:r w:rsidR="006F1D0A">
        <w:rPr>
          <w:rFonts w:ascii="Times New Roman" w:hAnsi="Times New Roman" w:cs="Times New Roman"/>
        </w:rPr>
        <w:t>ing, Measurement, Evaluation and R</w:t>
      </w:r>
      <w:r w:rsidRPr="00DC4545">
        <w:rPr>
          <w:rFonts w:ascii="Times New Roman" w:hAnsi="Times New Roman" w:cs="Times New Roman"/>
        </w:rPr>
        <w:t>esponse</w:t>
      </w:r>
      <w:r w:rsidR="006F1D0A">
        <w:rPr>
          <w:rFonts w:ascii="Times New Roman" w:hAnsi="Times New Roman" w:cs="Times New Roman"/>
        </w:rPr>
        <w:t>”</w:t>
      </w:r>
      <w:r w:rsidRPr="00DC4545">
        <w:rPr>
          <w:rFonts w:ascii="Times New Roman" w:hAnsi="Times New Roman" w:cs="Times New Roman"/>
        </w:rPr>
        <w:t xml:space="preserve"> protocol for water quality important to both marine and terrestrial ecosystems services. The project is also designed to involve local </w:t>
      </w:r>
      <w:r w:rsidR="006F1D0A">
        <w:rPr>
          <w:rFonts w:ascii="Times New Roman" w:hAnsi="Times New Roman" w:cs="Times New Roman"/>
        </w:rPr>
        <w:t xml:space="preserve">stakeholders </w:t>
      </w:r>
      <w:r w:rsidRPr="00DC4545">
        <w:rPr>
          <w:rFonts w:ascii="Times New Roman" w:hAnsi="Times New Roman" w:cs="Times New Roman"/>
        </w:rPr>
        <w:t xml:space="preserve">in generating community-based INRM rules that could be later translated into statutory rules and orders so as to give fullest effectiveness to the INRM approach; and also demonstrate lessons learned and best management practices (BMP) that can be duplicated at other locations on the island. </w:t>
      </w:r>
    </w:p>
    <w:p w14:paraId="6B91CC23"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project activities are designed to complement the incipient R-PP initiative </w:t>
      </w:r>
      <w:r w:rsidR="00A775E3">
        <w:rPr>
          <w:rFonts w:ascii="Times New Roman" w:hAnsi="Times New Roman" w:cs="Times New Roman"/>
        </w:rPr>
        <w:t>and its development of</w:t>
      </w:r>
      <w:r w:rsidRPr="00DC4545">
        <w:rPr>
          <w:rFonts w:ascii="Times New Roman" w:hAnsi="Times New Roman" w:cs="Times New Roman"/>
        </w:rPr>
        <w:t xml:space="preserve"> a SFM/REDD+ strategy. </w:t>
      </w:r>
      <w:r w:rsidR="00A775E3">
        <w:rPr>
          <w:rFonts w:ascii="Times New Roman" w:hAnsi="Times New Roman" w:cs="Times New Roman"/>
        </w:rPr>
        <w:t>T</w:t>
      </w:r>
      <w:r w:rsidRPr="00DC4545">
        <w:rPr>
          <w:rFonts w:ascii="Times New Roman" w:hAnsi="Times New Roman" w:cs="Times New Roman"/>
        </w:rPr>
        <w:t xml:space="preserve">he </w:t>
      </w:r>
      <w:r w:rsidR="00A775E3">
        <w:rPr>
          <w:rFonts w:ascii="Times New Roman" w:hAnsi="Times New Roman" w:cs="Times New Roman"/>
        </w:rPr>
        <w:t>P</w:t>
      </w:r>
      <w:r w:rsidRPr="00DC4545">
        <w:rPr>
          <w:rFonts w:ascii="Times New Roman" w:hAnsi="Times New Roman" w:cs="Times New Roman"/>
        </w:rPr>
        <w:t>roject</w:t>
      </w:r>
      <w:r w:rsidR="00A775E3">
        <w:rPr>
          <w:rFonts w:ascii="Times New Roman" w:hAnsi="Times New Roman" w:cs="Times New Roman"/>
        </w:rPr>
        <w:t>’s interventions will</w:t>
      </w:r>
      <w:r w:rsidRPr="00DC4545">
        <w:rPr>
          <w:rFonts w:ascii="Times New Roman" w:hAnsi="Times New Roman" w:cs="Times New Roman"/>
        </w:rPr>
        <w:t xml:space="preserve"> </w:t>
      </w:r>
      <w:r w:rsidR="00A775E3">
        <w:rPr>
          <w:rFonts w:ascii="Times New Roman" w:hAnsi="Times New Roman" w:cs="Times New Roman"/>
        </w:rPr>
        <w:t xml:space="preserve">enhance the Government’s </w:t>
      </w:r>
      <w:r w:rsidRPr="00DC4545">
        <w:rPr>
          <w:rFonts w:ascii="Times New Roman" w:hAnsi="Times New Roman" w:cs="Times New Roman"/>
        </w:rPr>
        <w:t xml:space="preserve">ongoing institutional baseline programs for </w:t>
      </w:r>
      <w:r w:rsidR="00A775E3">
        <w:rPr>
          <w:rFonts w:ascii="Times New Roman" w:hAnsi="Times New Roman" w:cs="Times New Roman"/>
        </w:rPr>
        <w:t>l</w:t>
      </w:r>
      <w:r w:rsidRPr="00DC4545">
        <w:rPr>
          <w:rFonts w:ascii="Times New Roman" w:hAnsi="Times New Roman" w:cs="Times New Roman"/>
        </w:rPr>
        <w:t xml:space="preserve">and and </w:t>
      </w:r>
      <w:r w:rsidR="00A775E3">
        <w:rPr>
          <w:rFonts w:ascii="Times New Roman" w:hAnsi="Times New Roman" w:cs="Times New Roman"/>
        </w:rPr>
        <w:t>f</w:t>
      </w:r>
      <w:r w:rsidRPr="00DC4545">
        <w:rPr>
          <w:rFonts w:ascii="Times New Roman" w:hAnsi="Times New Roman" w:cs="Times New Roman"/>
        </w:rPr>
        <w:t>orest management</w:t>
      </w:r>
      <w:r w:rsidR="00EF6815">
        <w:rPr>
          <w:rFonts w:ascii="Times New Roman" w:hAnsi="Times New Roman" w:cs="Times New Roman"/>
        </w:rPr>
        <w:t>.  These will complement</w:t>
      </w:r>
      <w:r w:rsidRPr="00DC4545">
        <w:rPr>
          <w:rFonts w:ascii="Times New Roman" w:hAnsi="Times New Roman" w:cs="Times New Roman"/>
        </w:rPr>
        <w:t xml:space="preserve"> the R-PP process</w:t>
      </w:r>
      <w:r w:rsidR="00EF6815">
        <w:rPr>
          <w:rFonts w:ascii="Times New Roman" w:hAnsi="Times New Roman" w:cs="Times New Roman"/>
        </w:rPr>
        <w:t xml:space="preserve">, thereby creating </w:t>
      </w:r>
      <w:r w:rsidRPr="00DC4545">
        <w:rPr>
          <w:rFonts w:ascii="Times New Roman" w:hAnsi="Times New Roman" w:cs="Times New Roman"/>
        </w:rPr>
        <w:t xml:space="preserve">opportunity for </w:t>
      </w:r>
      <w:r w:rsidR="00EF6815">
        <w:rPr>
          <w:rFonts w:ascii="Times New Roman" w:hAnsi="Times New Roman" w:cs="Times New Roman"/>
        </w:rPr>
        <w:t xml:space="preserve">the </w:t>
      </w:r>
      <w:r w:rsidRPr="00DC4545">
        <w:rPr>
          <w:rFonts w:ascii="Times New Roman" w:hAnsi="Times New Roman" w:cs="Times New Roman"/>
        </w:rPr>
        <w:t xml:space="preserve">incremental </w:t>
      </w:r>
      <w:r w:rsidR="00EF6815">
        <w:rPr>
          <w:rFonts w:ascii="Times New Roman" w:hAnsi="Times New Roman" w:cs="Times New Roman"/>
        </w:rPr>
        <w:t>generation of</w:t>
      </w:r>
      <w:r w:rsidRPr="00DC4545">
        <w:rPr>
          <w:rFonts w:ascii="Times New Roman" w:hAnsi="Times New Roman" w:cs="Times New Roman"/>
        </w:rPr>
        <w:t xml:space="preserve"> long-term global and local environmental benefits </w:t>
      </w:r>
      <w:r w:rsidR="00EF6815">
        <w:rPr>
          <w:rFonts w:ascii="Times New Roman" w:hAnsi="Times New Roman" w:cs="Times New Roman"/>
        </w:rPr>
        <w:t>regarding</w:t>
      </w:r>
      <w:r w:rsidRPr="00DC4545">
        <w:rPr>
          <w:rFonts w:ascii="Times New Roman" w:hAnsi="Times New Roman" w:cs="Times New Roman"/>
        </w:rPr>
        <w:t xml:space="preserve"> conservation and management of BD and ecosystems functions. </w:t>
      </w:r>
    </w:p>
    <w:p w14:paraId="08A5BC31" w:rsidR="00133632" w:rsidRPr="00DC4545" w:rsidRDefault="00133632" w:rsidP="009C3E04">
      <w:pPr>
        <w:pStyle w:val="Heading4"/>
      </w:pPr>
      <w:r w:rsidRPr="00DC4545">
        <w:t xml:space="preserve">Social Sustainability </w:t>
      </w:r>
    </w:p>
    <w:p w14:paraId="6E71E04B" w:rsidR="00133632" w:rsidRPr="00DC4545" w:rsidRDefault="00133632" w:rsidP="009C3E04">
      <w:pPr>
        <w:pStyle w:val="ListParagraph"/>
        <w:ind w:left="0"/>
        <w:rPr>
          <w:rFonts w:ascii="Times New Roman" w:hAnsi="Times New Roman" w:cs="Times New Roman"/>
        </w:rPr>
      </w:pPr>
    </w:p>
    <w:p w14:paraId="4597E2C5"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social sustainability of the project activities will be achieved chiefly through the involvement and direct participation of local area persons who support the co-management approach. </w:t>
      </w:r>
      <w:r w:rsidR="006F1D0A">
        <w:rPr>
          <w:rFonts w:ascii="Times New Roman" w:hAnsi="Times New Roman" w:cs="Times New Roman"/>
        </w:rPr>
        <w:t>M</w:t>
      </w:r>
      <w:r w:rsidR="006F1D0A" w:rsidRPr="006F1D0A">
        <w:rPr>
          <w:rFonts w:ascii="Times New Roman" w:hAnsi="Times New Roman" w:cs="Times New Roman"/>
        </w:rPr>
        <w:t xml:space="preserve">edium and long-term social sustainability </w:t>
      </w:r>
      <w:r w:rsidR="006F1D0A">
        <w:rPr>
          <w:rFonts w:ascii="Times New Roman" w:hAnsi="Times New Roman" w:cs="Times New Roman"/>
        </w:rPr>
        <w:t>will</w:t>
      </w:r>
      <w:r w:rsidR="006F1D0A" w:rsidRPr="006F1D0A">
        <w:rPr>
          <w:rFonts w:ascii="Times New Roman" w:hAnsi="Times New Roman" w:cs="Times New Roman"/>
        </w:rPr>
        <w:t xml:space="preserve"> be </w:t>
      </w:r>
      <w:r w:rsidRPr="00DC4545">
        <w:rPr>
          <w:rFonts w:ascii="Times New Roman" w:hAnsi="Times New Roman" w:cs="Times New Roman"/>
        </w:rPr>
        <w:t xml:space="preserve">reinforced by </w:t>
      </w:r>
      <w:r w:rsidR="006F1D0A">
        <w:rPr>
          <w:rFonts w:ascii="Times New Roman" w:hAnsi="Times New Roman" w:cs="Times New Roman"/>
        </w:rPr>
        <w:t xml:space="preserve">the </w:t>
      </w:r>
      <w:r w:rsidRPr="00DC4545">
        <w:rPr>
          <w:rFonts w:ascii="Times New Roman" w:hAnsi="Times New Roman" w:cs="Times New Roman"/>
        </w:rPr>
        <w:t xml:space="preserve">demonstration of successful outcomes of SLM, SFM, REDD+, LD mitigation and CC </w:t>
      </w:r>
      <w:r w:rsidR="006F1D0A">
        <w:rPr>
          <w:rFonts w:ascii="Times New Roman" w:hAnsi="Times New Roman" w:cs="Times New Roman"/>
        </w:rPr>
        <w:t>adaptation</w:t>
      </w:r>
      <w:r w:rsidRPr="00DC4545">
        <w:rPr>
          <w:rFonts w:ascii="Times New Roman" w:hAnsi="Times New Roman" w:cs="Times New Roman"/>
        </w:rPr>
        <w:t xml:space="preserve"> practices applied within the INRM approach and seen as profitable to local </w:t>
      </w:r>
      <w:r w:rsidR="006F1D0A">
        <w:rPr>
          <w:rFonts w:ascii="Times New Roman" w:hAnsi="Times New Roman" w:cs="Times New Roman"/>
        </w:rPr>
        <w:t>stakeholders</w:t>
      </w:r>
      <w:r w:rsidRPr="00DC4545">
        <w:rPr>
          <w:rFonts w:ascii="Times New Roman" w:hAnsi="Times New Roman" w:cs="Times New Roman"/>
        </w:rPr>
        <w:t>. Specifically</w:t>
      </w:r>
      <w:r w:rsidR="00D25036">
        <w:rPr>
          <w:rFonts w:ascii="Times New Roman" w:hAnsi="Times New Roman" w:cs="Times New Roman"/>
        </w:rPr>
        <w:t>,</w:t>
      </w:r>
      <w:r w:rsidRPr="00DC4545">
        <w:rPr>
          <w:rFonts w:ascii="Times New Roman" w:hAnsi="Times New Roman" w:cs="Times New Roman"/>
        </w:rPr>
        <w:t xml:space="preserve"> </w:t>
      </w:r>
      <w:r w:rsidR="006F1D0A">
        <w:rPr>
          <w:rFonts w:ascii="Times New Roman" w:hAnsi="Times New Roman" w:cs="Times New Roman"/>
        </w:rPr>
        <w:t>it is expected that social uptake and acceptance will be garnered through t</w:t>
      </w:r>
      <w:r w:rsidRPr="00DC4545">
        <w:rPr>
          <w:rFonts w:ascii="Times New Roman" w:hAnsi="Times New Roman" w:cs="Times New Roman"/>
        </w:rPr>
        <w:t>he project</w:t>
      </w:r>
      <w:r w:rsidR="006F1D0A">
        <w:rPr>
          <w:rFonts w:ascii="Times New Roman" w:hAnsi="Times New Roman" w:cs="Times New Roman"/>
        </w:rPr>
        <w:t>’s</w:t>
      </w:r>
      <w:r w:rsidRPr="00DC4545">
        <w:rPr>
          <w:rFonts w:ascii="Times New Roman" w:hAnsi="Times New Roman" w:cs="Times New Roman"/>
        </w:rPr>
        <w:t xml:space="preserve"> initiatives</w:t>
      </w:r>
      <w:r w:rsidR="006F1D0A">
        <w:rPr>
          <w:rFonts w:ascii="Times New Roman" w:hAnsi="Times New Roman" w:cs="Times New Roman"/>
        </w:rPr>
        <w:t xml:space="preserve"> </w:t>
      </w:r>
      <w:r w:rsidRPr="00DC4545">
        <w:rPr>
          <w:rFonts w:ascii="Times New Roman" w:hAnsi="Times New Roman" w:cs="Times New Roman"/>
        </w:rPr>
        <w:t xml:space="preserve">that couple </w:t>
      </w:r>
      <w:r w:rsidR="006F1D0A">
        <w:rPr>
          <w:rFonts w:ascii="Times New Roman" w:hAnsi="Times New Roman" w:cs="Times New Roman"/>
        </w:rPr>
        <w:t xml:space="preserve">the </w:t>
      </w:r>
      <w:r w:rsidRPr="00DC4545">
        <w:rPr>
          <w:rFonts w:ascii="Times New Roman" w:hAnsi="Times New Roman" w:cs="Times New Roman"/>
        </w:rPr>
        <w:t xml:space="preserve">application of INRM practices with opportunities to enhance the livelihoods of local </w:t>
      </w:r>
      <w:r w:rsidR="006F1D0A">
        <w:rPr>
          <w:rFonts w:ascii="Times New Roman" w:hAnsi="Times New Roman" w:cs="Times New Roman"/>
        </w:rPr>
        <w:t>stakeholders</w:t>
      </w:r>
      <w:r w:rsidRPr="00DC4545">
        <w:rPr>
          <w:rFonts w:ascii="Times New Roman" w:hAnsi="Times New Roman" w:cs="Times New Roman"/>
        </w:rPr>
        <w:t xml:space="preserve">. At the pilot project demonstration </w:t>
      </w:r>
      <w:r w:rsidR="00541D16">
        <w:rPr>
          <w:rFonts w:ascii="Times New Roman" w:hAnsi="Times New Roman" w:cs="Times New Roman"/>
        </w:rPr>
        <w:t>site</w:t>
      </w:r>
      <w:r w:rsidRPr="00DC4545">
        <w:rPr>
          <w:rFonts w:ascii="Times New Roman" w:hAnsi="Times New Roman" w:cs="Times New Roman"/>
        </w:rPr>
        <w:t>, the Beausejour watershed, the sustainable agricultural productions, the sustainable forest manag</w:t>
      </w:r>
      <w:r w:rsidR="00541D16">
        <w:rPr>
          <w:rFonts w:ascii="Times New Roman" w:hAnsi="Times New Roman" w:cs="Times New Roman"/>
        </w:rPr>
        <w:t>ement and the sustainable range</w:t>
      </w:r>
      <w:r w:rsidRPr="00DC4545">
        <w:rPr>
          <w:rFonts w:ascii="Times New Roman" w:hAnsi="Times New Roman" w:cs="Times New Roman"/>
        </w:rPr>
        <w:t xml:space="preserve">land management initiatives promise considerable potential for generating profit and involvement of targeted local persons. </w:t>
      </w:r>
      <w:r w:rsidR="00541D16">
        <w:rPr>
          <w:rFonts w:ascii="Times New Roman" w:hAnsi="Times New Roman" w:cs="Times New Roman"/>
        </w:rPr>
        <w:t>W</w:t>
      </w:r>
      <w:r w:rsidRPr="00DC4545">
        <w:rPr>
          <w:rFonts w:ascii="Times New Roman" w:hAnsi="Times New Roman" w:cs="Times New Roman"/>
        </w:rPr>
        <w:t>ith regard</w:t>
      </w:r>
      <w:r w:rsidR="00541D16">
        <w:rPr>
          <w:rFonts w:ascii="Times New Roman" w:hAnsi="Times New Roman" w:cs="Times New Roman"/>
        </w:rPr>
        <w:t>s</w:t>
      </w:r>
      <w:r w:rsidRPr="00DC4545">
        <w:rPr>
          <w:rFonts w:ascii="Times New Roman" w:hAnsi="Times New Roman" w:cs="Times New Roman"/>
        </w:rPr>
        <w:t xml:space="preserve"> to </w:t>
      </w:r>
      <w:r w:rsidR="00541D16">
        <w:rPr>
          <w:rFonts w:ascii="Times New Roman" w:hAnsi="Times New Roman" w:cs="Times New Roman"/>
        </w:rPr>
        <w:t xml:space="preserve">Outcome </w:t>
      </w:r>
      <w:r w:rsidRPr="00DC4545">
        <w:rPr>
          <w:rFonts w:ascii="Times New Roman" w:hAnsi="Times New Roman" w:cs="Times New Roman"/>
        </w:rPr>
        <w:t xml:space="preserve">1, the opportunities </w:t>
      </w:r>
      <w:r w:rsidR="00541D16">
        <w:rPr>
          <w:rFonts w:ascii="Times New Roman" w:hAnsi="Times New Roman" w:cs="Times New Roman"/>
        </w:rPr>
        <w:t>to</w:t>
      </w:r>
      <w:r w:rsidRPr="00DC4545">
        <w:rPr>
          <w:rFonts w:ascii="Times New Roman" w:hAnsi="Times New Roman" w:cs="Times New Roman"/>
        </w:rPr>
        <w:t xml:space="preserve"> enhance existing </w:t>
      </w:r>
      <w:r w:rsidR="00541D16">
        <w:rPr>
          <w:rFonts w:ascii="Times New Roman" w:hAnsi="Times New Roman" w:cs="Times New Roman"/>
        </w:rPr>
        <w:t xml:space="preserve">or create new </w:t>
      </w:r>
      <w:r w:rsidRPr="00DC4545">
        <w:rPr>
          <w:rFonts w:ascii="Times New Roman" w:hAnsi="Times New Roman" w:cs="Times New Roman"/>
        </w:rPr>
        <w:t>livelihood enterprises</w:t>
      </w:r>
      <w:r w:rsidR="00541D16" w:rsidRPr="00541D16">
        <w:rPr>
          <w:rFonts w:ascii="Times New Roman" w:hAnsi="Times New Roman" w:cs="Times New Roman"/>
        </w:rPr>
        <w:t xml:space="preserve"> </w:t>
      </w:r>
      <w:r w:rsidR="00541D16" w:rsidRPr="00DC4545">
        <w:rPr>
          <w:rFonts w:ascii="Times New Roman" w:hAnsi="Times New Roman" w:cs="Times New Roman"/>
        </w:rPr>
        <w:t>based on natural resources directly associated with PAs</w:t>
      </w:r>
      <w:r w:rsidR="00541D16">
        <w:rPr>
          <w:rFonts w:ascii="Times New Roman" w:hAnsi="Times New Roman" w:cs="Times New Roman"/>
        </w:rPr>
        <w:t>,</w:t>
      </w:r>
      <w:r w:rsidRPr="00DC4545">
        <w:rPr>
          <w:rFonts w:ascii="Times New Roman" w:hAnsi="Times New Roman" w:cs="Times New Roman"/>
        </w:rPr>
        <w:t xml:space="preserve"> offer considerable </w:t>
      </w:r>
      <w:r w:rsidR="00541D16">
        <w:rPr>
          <w:rFonts w:ascii="Times New Roman" w:hAnsi="Times New Roman" w:cs="Times New Roman"/>
        </w:rPr>
        <w:t>options for generating short-</w:t>
      </w:r>
      <w:r w:rsidRPr="00DC4545">
        <w:rPr>
          <w:rFonts w:ascii="Times New Roman" w:hAnsi="Times New Roman" w:cs="Times New Roman"/>
        </w:rPr>
        <w:t xml:space="preserve">term and long-term social sustainability. </w:t>
      </w:r>
    </w:p>
    <w:p w14:paraId="0089A937" w:rsidR="00133632" w:rsidRPr="00DC4545" w:rsidRDefault="00133632" w:rsidP="009C3E04">
      <w:pPr>
        <w:pStyle w:val="Heading4"/>
      </w:pPr>
      <w:r w:rsidRPr="00DC4545">
        <w:t xml:space="preserve">Institutional Sustainability </w:t>
      </w:r>
    </w:p>
    <w:p w14:paraId="6EA9B413"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w:t>
      </w:r>
      <w:r w:rsidR="00376D2A">
        <w:rPr>
          <w:rFonts w:ascii="Times New Roman" w:hAnsi="Times New Roman" w:cs="Times New Roman"/>
        </w:rPr>
        <w:t>R</w:t>
      </w:r>
      <w:r w:rsidRPr="00DC4545">
        <w:rPr>
          <w:rFonts w:ascii="Times New Roman" w:hAnsi="Times New Roman" w:cs="Times New Roman"/>
        </w:rPr>
        <w:t xml:space="preserve">idge to Reef Project </w:t>
      </w:r>
      <w:r w:rsidR="001D58E4">
        <w:rPr>
          <w:rFonts w:ascii="Times New Roman" w:hAnsi="Times New Roman" w:cs="Times New Roman"/>
        </w:rPr>
        <w:t>emphasizes</w:t>
      </w:r>
      <w:r w:rsidRPr="00DC4545">
        <w:rPr>
          <w:rFonts w:ascii="Times New Roman" w:hAnsi="Times New Roman" w:cs="Times New Roman"/>
        </w:rPr>
        <w:t xml:space="preserve"> capacity-building </w:t>
      </w:r>
      <w:r w:rsidR="001D58E4">
        <w:rPr>
          <w:rFonts w:ascii="Times New Roman" w:hAnsi="Times New Roman" w:cs="Times New Roman"/>
        </w:rPr>
        <w:t xml:space="preserve">that </w:t>
      </w:r>
      <w:r w:rsidRPr="00DC4545">
        <w:rPr>
          <w:rFonts w:ascii="Times New Roman" w:hAnsi="Times New Roman" w:cs="Times New Roman"/>
        </w:rPr>
        <w:t>complement</w:t>
      </w:r>
      <w:r w:rsidR="001D58E4">
        <w:rPr>
          <w:rFonts w:ascii="Times New Roman" w:hAnsi="Times New Roman" w:cs="Times New Roman"/>
        </w:rPr>
        <w:t>s</w:t>
      </w:r>
      <w:r w:rsidRPr="00DC4545">
        <w:rPr>
          <w:rFonts w:ascii="Times New Roman" w:hAnsi="Times New Roman" w:cs="Times New Roman"/>
        </w:rPr>
        <w:t xml:space="preserve"> </w:t>
      </w:r>
      <w:r w:rsidR="001D58E4">
        <w:rPr>
          <w:rFonts w:ascii="Times New Roman" w:hAnsi="Times New Roman" w:cs="Times New Roman"/>
        </w:rPr>
        <w:t>rather than</w:t>
      </w:r>
      <w:r w:rsidRPr="00DC4545">
        <w:rPr>
          <w:rFonts w:ascii="Times New Roman" w:hAnsi="Times New Roman" w:cs="Times New Roman"/>
        </w:rPr>
        <w:t xml:space="preserve"> substitut</w:t>
      </w:r>
      <w:r w:rsidR="001D58E4">
        <w:rPr>
          <w:rFonts w:ascii="Times New Roman" w:hAnsi="Times New Roman" w:cs="Times New Roman"/>
        </w:rPr>
        <w:t>es</w:t>
      </w:r>
      <w:r w:rsidRPr="00DC4545">
        <w:rPr>
          <w:rFonts w:ascii="Times New Roman" w:hAnsi="Times New Roman" w:cs="Times New Roman"/>
        </w:rPr>
        <w:t xml:space="preserve"> ongoing baseline programs of the Government of Grenada for the conservation and management of BD and ecosystems functions</w:t>
      </w:r>
      <w:r w:rsidR="001D58E4">
        <w:rPr>
          <w:rFonts w:ascii="Times New Roman" w:hAnsi="Times New Roman" w:cs="Times New Roman"/>
        </w:rPr>
        <w:t>. As such, it</w:t>
      </w:r>
      <w:r w:rsidRPr="00DC4545">
        <w:rPr>
          <w:rFonts w:ascii="Times New Roman" w:hAnsi="Times New Roman" w:cs="Times New Roman"/>
        </w:rPr>
        <w:t xml:space="preserve"> incorporate</w:t>
      </w:r>
      <w:r w:rsidR="001D58E4">
        <w:rPr>
          <w:rFonts w:ascii="Times New Roman" w:hAnsi="Times New Roman" w:cs="Times New Roman"/>
        </w:rPr>
        <w:t>s</w:t>
      </w:r>
      <w:r w:rsidRPr="00DC4545">
        <w:rPr>
          <w:rFonts w:ascii="Times New Roman" w:hAnsi="Times New Roman" w:cs="Times New Roman"/>
        </w:rPr>
        <w:t xml:space="preserve"> various </w:t>
      </w:r>
      <w:r w:rsidR="001D58E4">
        <w:rPr>
          <w:rFonts w:ascii="Times New Roman" w:hAnsi="Times New Roman" w:cs="Times New Roman"/>
        </w:rPr>
        <w:t xml:space="preserve">opportunities for institutional strengthening </w:t>
      </w:r>
      <w:r w:rsidRPr="00DC4545">
        <w:rPr>
          <w:rFonts w:ascii="Times New Roman" w:hAnsi="Times New Roman" w:cs="Times New Roman"/>
        </w:rPr>
        <w:t xml:space="preserve">relevant to long-term management and conservation of the BD and ecosystems functions </w:t>
      </w:r>
      <w:r w:rsidR="001D58E4">
        <w:rPr>
          <w:rFonts w:ascii="Times New Roman" w:hAnsi="Times New Roman" w:cs="Times New Roman"/>
        </w:rPr>
        <w:t>to ensure</w:t>
      </w:r>
      <w:r w:rsidRPr="00DC4545">
        <w:rPr>
          <w:rFonts w:ascii="Times New Roman" w:hAnsi="Times New Roman" w:cs="Times New Roman"/>
        </w:rPr>
        <w:t xml:space="preserve"> these agencies </w:t>
      </w:r>
      <w:r w:rsidR="001D58E4">
        <w:rPr>
          <w:rFonts w:ascii="Times New Roman" w:hAnsi="Times New Roman" w:cs="Times New Roman"/>
        </w:rPr>
        <w:t>are capable of continuing</w:t>
      </w:r>
      <w:r w:rsidRPr="00DC4545">
        <w:rPr>
          <w:rFonts w:ascii="Times New Roman" w:hAnsi="Times New Roman" w:cs="Times New Roman"/>
        </w:rPr>
        <w:t xml:space="preserve"> with activities</w:t>
      </w:r>
      <w:r w:rsidR="001D58E4">
        <w:rPr>
          <w:rFonts w:ascii="Times New Roman" w:hAnsi="Times New Roman" w:cs="Times New Roman"/>
        </w:rPr>
        <w:t xml:space="preserve"> past the Project’s lifetime, and with</w:t>
      </w:r>
      <w:r w:rsidRPr="00DC4545">
        <w:rPr>
          <w:rFonts w:ascii="Times New Roman" w:hAnsi="Times New Roman" w:cs="Times New Roman"/>
        </w:rPr>
        <w:t xml:space="preserve"> enhanced</w:t>
      </w:r>
      <w:r w:rsidR="001D58E4">
        <w:rPr>
          <w:rFonts w:ascii="Times New Roman" w:hAnsi="Times New Roman" w:cs="Times New Roman"/>
        </w:rPr>
        <w:t xml:space="preserve"> levels of performance and application of</w:t>
      </w:r>
      <w:r w:rsidRPr="00DC4545">
        <w:rPr>
          <w:rFonts w:ascii="Times New Roman" w:hAnsi="Times New Roman" w:cs="Times New Roman"/>
        </w:rPr>
        <w:t xml:space="preserve"> BMPs from the lessons learned. </w:t>
      </w:r>
      <w:r w:rsidR="001D58E4">
        <w:rPr>
          <w:rFonts w:ascii="Times New Roman" w:hAnsi="Times New Roman" w:cs="Times New Roman"/>
        </w:rPr>
        <w:t>T</w:t>
      </w:r>
      <w:r w:rsidRPr="00DC4545">
        <w:rPr>
          <w:rFonts w:ascii="Times New Roman" w:hAnsi="Times New Roman" w:cs="Times New Roman"/>
        </w:rPr>
        <w:t xml:space="preserve">he </w:t>
      </w:r>
      <w:r w:rsidR="001D58E4">
        <w:rPr>
          <w:rFonts w:ascii="Times New Roman" w:hAnsi="Times New Roman" w:cs="Times New Roman"/>
        </w:rPr>
        <w:t>P</w:t>
      </w:r>
      <w:r w:rsidRPr="00DC4545">
        <w:rPr>
          <w:rFonts w:ascii="Times New Roman" w:hAnsi="Times New Roman" w:cs="Times New Roman"/>
        </w:rPr>
        <w:t xml:space="preserve">roject will build capacity within the various </w:t>
      </w:r>
      <w:r w:rsidR="001D58E4">
        <w:rPr>
          <w:rFonts w:ascii="Times New Roman" w:hAnsi="Times New Roman" w:cs="Times New Roman"/>
        </w:rPr>
        <w:t>C</w:t>
      </w:r>
      <w:r w:rsidRPr="00DC4545">
        <w:rPr>
          <w:rFonts w:ascii="Times New Roman" w:hAnsi="Times New Roman" w:cs="Times New Roman"/>
        </w:rPr>
        <w:t xml:space="preserve">ompetent </w:t>
      </w:r>
      <w:r w:rsidR="001D58E4">
        <w:rPr>
          <w:rFonts w:ascii="Times New Roman" w:hAnsi="Times New Roman" w:cs="Times New Roman"/>
        </w:rPr>
        <w:t>A</w:t>
      </w:r>
      <w:r w:rsidRPr="00DC4545">
        <w:rPr>
          <w:rFonts w:ascii="Times New Roman" w:hAnsi="Times New Roman" w:cs="Times New Roman"/>
        </w:rPr>
        <w:t xml:space="preserve">uthorities </w:t>
      </w:r>
      <w:r w:rsidR="001D58E4">
        <w:rPr>
          <w:rFonts w:ascii="Times New Roman" w:hAnsi="Times New Roman" w:cs="Times New Roman"/>
        </w:rPr>
        <w:t xml:space="preserve">responsible </w:t>
      </w:r>
      <w:r w:rsidRPr="00DC4545">
        <w:rPr>
          <w:rFonts w:ascii="Times New Roman" w:hAnsi="Times New Roman" w:cs="Times New Roman"/>
        </w:rPr>
        <w:t>for co</w:t>
      </w:r>
      <w:r w:rsidR="001D58E4">
        <w:rPr>
          <w:rFonts w:ascii="Times New Roman" w:hAnsi="Times New Roman" w:cs="Times New Roman"/>
        </w:rPr>
        <w:t>-</w:t>
      </w:r>
      <w:r w:rsidRPr="00DC4545">
        <w:rPr>
          <w:rFonts w:ascii="Times New Roman" w:hAnsi="Times New Roman" w:cs="Times New Roman"/>
        </w:rPr>
        <w:t>management</w:t>
      </w:r>
      <w:r w:rsidR="001D58E4">
        <w:rPr>
          <w:rFonts w:ascii="Times New Roman" w:hAnsi="Times New Roman" w:cs="Times New Roman"/>
        </w:rPr>
        <w:t xml:space="preserve"> </w:t>
      </w:r>
      <w:r w:rsidRPr="00DC4545">
        <w:rPr>
          <w:rFonts w:ascii="Times New Roman" w:hAnsi="Times New Roman" w:cs="Times New Roman"/>
        </w:rPr>
        <w:t xml:space="preserve">application of SLM, SFM, REDD+ and CC and LD practices through engagement </w:t>
      </w:r>
      <w:r w:rsidR="00541D16">
        <w:rPr>
          <w:rFonts w:ascii="Times New Roman" w:hAnsi="Times New Roman" w:cs="Times New Roman"/>
        </w:rPr>
        <w:t>of</w:t>
      </w:r>
      <w:r w:rsidRPr="00DC4545">
        <w:rPr>
          <w:rFonts w:ascii="Times New Roman" w:hAnsi="Times New Roman" w:cs="Times New Roman"/>
        </w:rPr>
        <w:t xml:space="preserve"> local </w:t>
      </w:r>
      <w:r w:rsidR="00541D16">
        <w:rPr>
          <w:rFonts w:ascii="Times New Roman" w:hAnsi="Times New Roman" w:cs="Times New Roman"/>
        </w:rPr>
        <w:t>stakeholders</w:t>
      </w:r>
      <w:r w:rsidRPr="00DC4545">
        <w:rPr>
          <w:rFonts w:ascii="Times New Roman" w:hAnsi="Times New Roman" w:cs="Times New Roman"/>
        </w:rPr>
        <w:t xml:space="preserve">. A significant outcome/ output expected </w:t>
      </w:r>
      <w:r w:rsidR="00541D16">
        <w:rPr>
          <w:rFonts w:ascii="Times New Roman" w:hAnsi="Times New Roman" w:cs="Times New Roman"/>
        </w:rPr>
        <w:t xml:space="preserve">will </w:t>
      </w:r>
      <w:r w:rsidRPr="00DC4545">
        <w:rPr>
          <w:rFonts w:ascii="Times New Roman" w:hAnsi="Times New Roman" w:cs="Times New Roman"/>
        </w:rPr>
        <w:t xml:space="preserve">be to enhance capacity </w:t>
      </w:r>
      <w:r w:rsidR="001D58E4">
        <w:rPr>
          <w:rFonts w:ascii="Times New Roman" w:hAnsi="Times New Roman" w:cs="Times New Roman"/>
        </w:rPr>
        <w:t>regarding the</w:t>
      </w:r>
      <w:r w:rsidRPr="00DC4545">
        <w:rPr>
          <w:rFonts w:ascii="Times New Roman" w:hAnsi="Times New Roman" w:cs="Times New Roman"/>
        </w:rPr>
        <w:t xml:space="preserve"> use of technologies to track the status and trends with regard to ecosystems and representations of stocks and habitats in the terrestrial and marine environments in Grenada. </w:t>
      </w:r>
    </w:p>
    <w:p w14:paraId="6BA89177" w:rsidR="00133632" w:rsidRPr="00DC4545" w:rsidRDefault="00133632" w:rsidP="009C3E04">
      <w:pPr>
        <w:pStyle w:val="Heading4"/>
      </w:pPr>
      <w:r w:rsidRPr="00DC4545">
        <w:t xml:space="preserve">Financial Sustainability </w:t>
      </w:r>
    </w:p>
    <w:p w14:paraId="3F4B6B77"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Financial sustainability will be achieved by strengthening institutional and regulatory mechanisms to enable more effective land, coastal and forest management</w:t>
      </w:r>
      <w:r w:rsidR="001D58E4">
        <w:rPr>
          <w:rFonts w:ascii="Times New Roman" w:hAnsi="Times New Roman" w:cs="Times New Roman"/>
        </w:rPr>
        <w:t>,</w:t>
      </w:r>
      <w:r w:rsidRPr="00DC4545">
        <w:rPr>
          <w:rFonts w:ascii="Times New Roman" w:hAnsi="Times New Roman" w:cs="Times New Roman"/>
        </w:rPr>
        <w:t xml:space="preserve"> </w:t>
      </w:r>
      <w:r w:rsidR="002A59BC">
        <w:rPr>
          <w:rFonts w:ascii="Times New Roman" w:hAnsi="Times New Roman" w:cs="Times New Roman"/>
        </w:rPr>
        <w:t>as well as the Government’s</w:t>
      </w:r>
      <w:r w:rsidRPr="00DC4545">
        <w:rPr>
          <w:rFonts w:ascii="Times New Roman" w:hAnsi="Times New Roman" w:cs="Times New Roman"/>
        </w:rPr>
        <w:t xml:space="preserve"> human and infrastruc</w:t>
      </w:r>
      <w:r w:rsidR="00D25036">
        <w:rPr>
          <w:rFonts w:ascii="Times New Roman" w:hAnsi="Times New Roman" w:cs="Times New Roman"/>
        </w:rPr>
        <w:t xml:space="preserve">tural capacity. </w:t>
      </w:r>
      <w:r w:rsidR="002A59BC">
        <w:rPr>
          <w:rFonts w:ascii="Times New Roman" w:hAnsi="Times New Roman" w:cs="Times New Roman"/>
        </w:rPr>
        <w:t>T</w:t>
      </w:r>
      <w:r w:rsidR="002A59BC" w:rsidRPr="00376D2A">
        <w:rPr>
          <w:rFonts w:ascii="Times New Roman" w:hAnsi="Times New Roman" w:cs="Times New Roman"/>
        </w:rPr>
        <w:t xml:space="preserve">here is a commitment by </w:t>
      </w:r>
      <w:r w:rsidR="002A59BC">
        <w:rPr>
          <w:rFonts w:ascii="Times New Roman" w:hAnsi="Times New Roman" w:cs="Times New Roman"/>
        </w:rPr>
        <w:t>the G</w:t>
      </w:r>
      <w:r w:rsidR="002A59BC" w:rsidRPr="00376D2A">
        <w:rPr>
          <w:rFonts w:ascii="Times New Roman" w:hAnsi="Times New Roman" w:cs="Times New Roman"/>
        </w:rPr>
        <w:t>overnment to formal</w:t>
      </w:r>
      <w:r w:rsidR="002A59BC">
        <w:rPr>
          <w:rFonts w:ascii="Times New Roman" w:hAnsi="Times New Roman" w:cs="Times New Roman"/>
        </w:rPr>
        <w:t>ly</w:t>
      </w:r>
      <w:r w:rsidR="002A59BC" w:rsidRPr="00376D2A">
        <w:rPr>
          <w:rFonts w:ascii="Times New Roman" w:hAnsi="Times New Roman" w:cs="Times New Roman"/>
        </w:rPr>
        <w:t xml:space="preserve"> establish national-level committees to oversee terrestrial and marine protected areas, and for the development of community co-management structures for individual </w:t>
      </w:r>
      <w:r w:rsidR="002A59BC">
        <w:rPr>
          <w:rFonts w:ascii="Times New Roman" w:hAnsi="Times New Roman" w:cs="Times New Roman"/>
        </w:rPr>
        <w:t>PA</w:t>
      </w:r>
      <w:r w:rsidR="002A59BC" w:rsidRPr="00376D2A">
        <w:rPr>
          <w:rFonts w:ascii="Times New Roman" w:hAnsi="Times New Roman" w:cs="Times New Roman"/>
        </w:rPr>
        <w:t xml:space="preserve"> sites.  This means that private sector partners and community members will be actively involved in developing tourism attractions / services in protected areas, thereby generating additional revenue for the PA system. </w:t>
      </w:r>
      <w:r w:rsidR="002A59BC">
        <w:rPr>
          <w:rFonts w:ascii="Times New Roman" w:hAnsi="Times New Roman" w:cs="Times New Roman"/>
        </w:rPr>
        <w:t xml:space="preserve">The Government is also committed to </w:t>
      </w:r>
      <w:r w:rsidR="00376D2A" w:rsidRPr="00376D2A">
        <w:rPr>
          <w:rFonts w:ascii="Times New Roman" w:hAnsi="Times New Roman" w:cs="Times New Roman"/>
        </w:rPr>
        <w:t>establishing a national protected areas trust fund and a PA system-level business plan, and to mainstreaming the needs of PA financing into national development planning.  The sustainability of various SLM approaches will be based on the focus of the project on implementing livelihoods-based SLM activities, thereby providing an economic incentive for local communities to continue such activities indefinitely.</w:t>
      </w:r>
      <w:r w:rsidR="002A59BC" w:rsidRPr="002A59BC">
        <w:rPr>
          <w:rFonts w:ascii="Times New Roman" w:hAnsi="Times New Roman" w:cs="Times New Roman"/>
        </w:rPr>
        <w:t xml:space="preserve"> </w:t>
      </w:r>
      <w:r w:rsidR="002A59BC">
        <w:rPr>
          <w:rFonts w:ascii="Times New Roman" w:hAnsi="Times New Roman" w:cs="Times New Roman"/>
        </w:rPr>
        <w:t xml:space="preserve">In particular, the Project will foster </w:t>
      </w:r>
      <w:r w:rsidR="002A59BC" w:rsidRPr="00DC4545">
        <w:rPr>
          <w:rFonts w:ascii="Times New Roman" w:hAnsi="Times New Roman" w:cs="Times New Roman"/>
        </w:rPr>
        <w:t>collaboration among CBOs, NGOs and Competent Authorities in a co</w:t>
      </w:r>
      <w:r w:rsidR="002A59BC">
        <w:rPr>
          <w:rFonts w:ascii="Times New Roman" w:hAnsi="Times New Roman" w:cs="Times New Roman"/>
        </w:rPr>
        <w:t>-</w:t>
      </w:r>
      <w:r w:rsidR="002A59BC" w:rsidRPr="00DC4545">
        <w:rPr>
          <w:rFonts w:ascii="Times New Roman" w:hAnsi="Times New Roman" w:cs="Times New Roman"/>
        </w:rPr>
        <w:t xml:space="preserve">management framework </w:t>
      </w:r>
      <w:r w:rsidR="002A59BC">
        <w:rPr>
          <w:rFonts w:ascii="Times New Roman" w:hAnsi="Times New Roman" w:cs="Times New Roman"/>
        </w:rPr>
        <w:t>for the</w:t>
      </w:r>
      <w:r w:rsidR="002A59BC" w:rsidRPr="00DC4545">
        <w:rPr>
          <w:rFonts w:ascii="Times New Roman" w:hAnsi="Times New Roman" w:cs="Times New Roman"/>
        </w:rPr>
        <w:t xml:space="preserve"> application of SFM/ SLM </w:t>
      </w:r>
      <w:r w:rsidR="002A59BC">
        <w:rPr>
          <w:rFonts w:ascii="Times New Roman" w:hAnsi="Times New Roman" w:cs="Times New Roman"/>
        </w:rPr>
        <w:t xml:space="preserve">practices as well as </w:t>
      </w:r>
      <w:r w:rsidR="002A59BC" w:rsidRPr="00DC4545">
        <w:rPr>
          <w:rFonts w:ascii="Times New Roman" w:hAnsi="Times New Roman" w:cs="Times New Roman"/>
        </w:rPr>
        <w:t xml:space="preserve">their cost-effective </w:t>
      </w:r>
      <w:r w:rsidR="002A59BC">
        <w:rPr>
          <w:rFonts w:ascii="Times New Roman" w:hAnsi="Times New Roman" w:cs="Times New Roman"/>
        </w:rPr>
        <w:t xml:space="preserve">financial </w:t>
      </w:r>
      <w:r w:rsidR="002A59BC" w:rsidRPr="00DC4545">
        <w:rPr>
          <w:rFonts w:ascii="Times New Roman" w:hAnsi="Times New Roman" w:cs="Times New Roman"/>
        </w:rPr>
        <w:t xml:space="preserve">planning and management. Similarly, skills development at </w:t>
      </w:r>
      <w:r w:rsidR="002A59BC">
        <w:rPr>
          <w:rFonts w:ascii="Times New Roman" w:hAnsi="Times New Roman" w:cs="Times New Roman"/>
        </w:rPr>
        <w:t xml:space="preserve">the </w:t>
      </w:r>
      <w:r w:rsidR="002A59BC" w:rsidRPr="00DC4545">
        <w:rPr>
          <w:rFonts w:ascii="Times New Roman" w:hAnsi="Times New Roman" w:cs="Times New Roman"/>
        </w:rPr>
        <w:t xml:space="preserve">community level will facilitate the adoption of SFM/ SLM </w:t>
      </w:r>
      <w:r w:rsidR="002A59BC">
        <w:rPr>
          <w:rFonts w:ascii="Times New Roman" w:hAnsi="Times New Roman" w:cs="Times New Roman"/>
        </w:rPr>
        <w:t xml:space="preserve">practices </w:t>
      </w:r>
      <w:r w:rsidR="002A59BC" w:rsidRPr="00DC4545">
        <w:rPr>
          <w:rFonts w:ascii="Times New Roman" w:hAnsi="Times New Roman" w:cs="Times New Roman"/>
        </w:rPr>
        <w:t>at the local level.</w:t>
      </w:r>
    </w:p>
    <w:p w14:paraId="33E36736" w:rsidR="00133632" w:rsidRPr="00DC4545" w:rsidRDefault="00133632" w:rsidP="009C3E04">
      <w:pPr>
        <w:pStyle w:val="Heading2"/>
      </w:pPr>
      <w:bookmarkStart w:id="42" w:name="_Toc389820972"/>
      <w:r w:rsidRPr="00DC4545">
        <w:t>2.9 Replicability</w:t>
      </w:r>
      <w:bookmarkEnd w:id="42"/>
      <w:r w:rsidRPr="00DC4545">
        <w:t xml:space="preserve"> </w:t>
      </w:r>
    </w:p>
    <w:p w14:paraId="11EC9C33"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project replication strategy will be designed from lessons learned from the performance of the best practices</w:t>
      </w:r>
      <w:r w:rsidR="002518B4">
        <w:rPr>
          <w:rFonts w:ascii="Times New Roman" w:hAnsi="Times New Roman" w:cs="Times New Roman"/>
        </w:rPr>
        <w:t>, particularly those</w:t>
      </w:r>
      <w:r w:rsidRPr="00DC4545">
        <w:rPr>
          <w:rFonts w:ascii="Times New Roman" w:hAnsi="Times New Roman" w:cs="Times New Roman"/>
        </w:rPr>
        <w:t xml:space="preserve"> tested at the pilot area, the Beausejour Watershed. This makes the Monitor</w:t>
      </w:r>
      <w:r w:rsidR="00BC51AC">
        <w:rPr>
          <w:rFonts w:ascii="Times New Roman" w:hAnsi="Times New Roman" w:cs="Times New Roman"/>
        </w:rPr>
        <w:t>ing</w:t>
      </w:r>
      <w:r w:rsidRPr="00DC4545">
        <w:rPr>
          <w:rFonts w:ascii="Times New Roman" w:hAnsi="Times New Roman" w:cs="Times New Roman"/>
        </w:rPr>
        <w:t xml:space="preserve"> </w:t>
      </w:r>
      <w:r w:rsidR="002518B4">
        <w:rPr>
          <w:rFonts w:ascii="Times New Roman" w:hAnsi="Times New Roman" w:cs="Times New Roman"/>
        </w:rPr>
        <w:t>&amp;</w:t>
      </w:r>
      <w:r w:rsidRPr="00DC4545">
        <w:rPr>
          <w:rFonts w:ascii="Times New Roman" w:hAnsi="Times New Roman" w:cs="Times New Roman"/>
        </w:rPr>
        <w:t xml:space="preserve"> Evaluation plan all the more important. </w:t>
      </w:r>
      <w:r w:rsidR="00BC51AC">
        <w:rPr>
          <w:rFonts w:ascii="Times New Roman" w:hAnsi="Times New Roman" w:cs="Times New Roman"/>
        </w:rPr>
        <w:t>S</w:t>
      </w:r>
      <w:r w:rsidRPr="00DC4545">
        <w:rPr>
          <w:rFonts w:ascii="Times New Roman" w:hAnsi="Times New Roman" w:cs="Times New Roman"/>
        </w:rPr>
        <w:t xml:space="preserve">pecial focus </w:t>
      </w:r>
      <w:r w:rsidR="00BC51AC">
        <w:rPr>
          <w:rFonts w:ascii="Times New Roman" w:hAnsi="Times New Roman" w:cs="Times New Roman"/>
        </w:rPr>
        <w:t>will</w:t>
      </w:r>
      <w:r w:rsidRPr="00DC4545">
        <w:rPr>
          <w:rFonts w:ascii="Times New Roman" w:hAnsi="Times New Roman" w:cs="Times New Roman"/>
        </w:rPr>
        <w:t xml:space="preserve"> be </w:t>
      </w:r>
      <w:r w:rsidR="00BC51AC">
        <w:rPr>
          <w:rFonts w:ascii="Times New Roman" w:hAnsi="Times New Roman" w:cs="Times New Roman"/>
        </w:rPr>
        <w:t xml:space="preserve">placed on </w:t>
      </w:r>
      <w:r w:rsidRPr="00DC4545">
        <w:rPr>
          <w:rFonts w:ascii="Times New Roman" w:hAnsi="Times New Roman" w:cs="Times New Roman"/>
        </w:rPr>
        <w:t xml:space="preserve">the co-management engagements between the Government agencies and NGOs </w:t>
      </w:r>
      <w:r w:rsidR="00BC51AC">
        <w:rPr>
          <w:rFonts w:ascii="Times New Roman" w:hAnsi="Times New Roman" w:cs="Times New Roman"/>
        </w:rPr>
        <w:t>/</w:t>
      </w:r>
      <w:r w:rsidRPr="00DC4545">
        <w:rPr>
          <w:rFonts w:ascii="Times New Roman" w:hAnsi="Times New Roman" w:cs="Times New Roman"/>
        </w:rPr>
        <w:t>CBOs and where functional engagements would not have had the benefit of accustomed to interactions and</w:t>
      </w:r>
      <w:r w:rsidR="00BC51AC">
        <w:rPr>
          <w:rFonts w:ascii="Times New Roman" w:hAnsi="Times New Roman" w:cs="Times New Roman"/>
        </w:rPr>
        <w:t xml:space="preserve"> standard “rules of engagement”</w:t>
      </w:r>
      <w:r w:rsidRPr="00DC4545">
        <w:rPr>
          <w:rFonts w:ascii="Times New Roman" w:hAnsi="Times New Roman" w:cs="Times New Roman"/>
        </w:rPr>
        <w:t>,</w:t>
      </w:r>
      <w:r w:rsidR="00BC51AC">
        <w:rPr>
          <w:rFonts w:ascii="Times New Roman" w:hAnsi="Times New Roman" w:cs="Times New Roman"/>
        </w:rPr>
        <w:t xml:space="preserve"> </w:t>
      </w:r>
      <w:r w:rsidRPr="00DC4545">
        <w:rPr>
          <w:rFonts w:ascii="Times New Roman" w:hAnsi="Times New Roman" w:cs="Times New Roman"/>
        </w:rPr>
        <w:t xml:space="preserve">and ;  where co-management engagements where models for maximizing </w:t>
      </w:r>
      <w:r w:rsidRPr="00DC4545">
        <w:rPr>
          <w:rFonts w:ascii="Times New Roman" w:hAnsi="Times New Roman" w:cs="Times New Roman"/>
          <w:b/>
        </w:rPr>
        <w:t>private profitability</w:t>
      </w:r>
      <w:r w:rsidRPr="00DC4545">
        <w:rPr>
          <w:rFonts w:ascii="Times New Roman" w:hAnsi="Times New Roman" w:cs="Times New Roman"/>
        </w:rPr>
        <w:t xml:space="preserve"> of landowners and farmers, would recognize that private vested interests could often be at variance with community-based and collaborative efforts for application of INRM principles and practices being promoted by the “Ridge to Reef” Project. In spite of the barriers to successful application of INRM practices in the face of farmers and landowners prime interest in ensuring private profitability with respect to their livelihoods, some ecological conditions indicate good chance for replication of initiatives. It is that the Grenada Island landscapes and seascapes are all very similar, in that they are composed of a set of small watersheds each characterized by the following (and with striking similarities to the Beausejour Watershed) :- (i) Steep Forested Hillsides with agricultural holdings, most of them small; (ii) Single Mini Rivers that drain each watershed; (iii) Most of the watersheds act as both water source and for agricultural ecosystems services; (iv) Most of the watersheds are populated by human communities especially on the mid-altitudes; (v) Most of the watersheds outfall unto relatively shallow coral reef sectors of the island shelf where there is need to adopt conservation and management measures to ensure recruitment of mobile fish stocks, minimal loading of pollutants form the land caused by both human and unsustainable land management practices and for maintenance of the clearness of coastal waters depended on for tourism services among others. The strategy would then be to document the lessons learned and Best Management Practices that were tested and could be applied for island watershed management of BD and ecosystems services at other watershed in Grenada or elsewhere.  </w:t>
      </w:r>
    </w:p>
    <w:p w14:paraId="629B67D2" w:rsidR="00204336" w:rsidRDefault="00204336" w:rsidP="009C3E04">
      <w:pPr>
        <w:pStyle w:val="Heading2"/>
      </w:pPr>
    </w:p>
    <w:p w14:paraId="444999FB" w:rsidR="00133632" w:rsidRPr="00204336" w:rsidRDefault="00204336" w:rsidP="009C3E04">
      <w:pPr>
        <w:pStyle w:val="Heading2"/>
        <w:rPr>
          <w:rFonts w:ascii="Times New Roman" w:hAnsi="Times New Roman" w:cs="Times New Roman"/>
        </w:rPr>
      </w:pPr>
      <w:bookmarkStart w:id="43" w:name="_Toc389820973"/>
      <w:r>
        <w:t xml:space="preserve">2.10 </w:t>
      </w:r>
      <w:r w:rsidR="00133632" w:rsidRPr="00DC4545">
        <w:t>Project Results and GEF Increment</w:t>
      </w:r>
      <w:bookmarkEnd w:id="43"/>
      <w:r w:rsidR="00133632" w:rsidRPr="00DC4545">
        <w:t xml:space="preserve">  </w:t>
      </w:r>
    </w:p>
    <w:p w14:paraId="6F5A3A9E" w:rsidR="00133632" w:rsidRPr="00DC4545" w:rsidRDefault="00133632" w:rsidP="009C3E04">
      <w:pPr>
        <w:pStyle w:val="Heading4"/>
      </w:pPr>
      <w:r w:rsidRPr="00DC4545">
        <w:t xml:space="preserve">Incremental Cost Analysis </w:t>
      </w:r>
    </w:p>
    <w:p w14:paraId="07E47EE1" w:rsidR="00133632" w:rsidRPr="00DC4545" w:rsidRDefault="00133632" w:rsidP="00392BA8">
      <w:pPr>
        <w:spacing w:before="240"/>
        <w:rPr>
          <w:rFonts w:ascii="Times New Roman" w:hAnsi="Times New Roman" w:cs="Times New Roman"/>
          <w:i/>
        </w:rPr>
      </w:pPr>
      <w:r w:rsidRPr="00DC4545">
        <w:rPr>
          <w:rFonts w:ascii="Times New Roman" w:hAnsi="Times New Roman" w:cs="Times New Roman"/>
          <w:i/>
        </w:rPr>
        <w:t xml:space="preserve">Global and National Objectives </w:t>
      </w:r>
    </w:p>
    <w:p w14:paraId="18245BC6"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project will contribute to implementing SFM/REDD+ and SLM as well as to the conservation and management of BD and the enhancement of CC mitigation initiatives on both the overall Grenada landscape and also in a mixed farming and forested watershed of Beausejour. The global and national benefits to be delivered through the project are: </w:t>
      </w:r>
    </w:p>
    <w:p w14:paraId="4F95FD71" w:rsidR="00133632" w:rsidRPr="00DC4545" w:rsidRDefault="00023F3C" w:rsidP="009C3E04">
      <w:pPr>
        <w:rPr>
          <w:rFonts w:ascii="Times New Roman" w:hAnsi="Times New Roman" w:cs="Times New Roman"/>
          <w:b/>
        </w:rPr>
      </w:pPr>
      <w:r>
        <w:rPr>
          <w:rFonts w:ascii="Times New Roman" w:hAnsi="Times New Roman" w:cs="Times New Roman"/>
          <w:b/>
        </w:rPr>
        <w:t>Outcome</w:t>
      </w:r>
      <w:r w:rsidR="00133632" w:rsidRPr="00DC4545">
        <w:rPr>
          <w:rFonts w:ascii="Times New Roman" w:hAnsi="Times New Roman" w:cs="Times New Roman"/>
          <w:b/>
        </w:rPr>
        <w:t xml:space="preserve"> #1 (Total Grenada Landscapes/ Seascapes) </w:t>
      </w:r>
    </w:p>
    <w:p w14:paraId="5D384F6D"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 xml:space="preserve">Coverage of Protected Areas expanded: number of TPAs increased from 8 to 9 with area increased from 1,931ha to 2,931ha; number of MPAs increased from 3 to 7 with area increased from 1,780ha to 13,180ha. </w:t>
      </w:r>
    </w:p>
    <w:p w14:paraId="6660EB0E"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Reduced threats to 16</w:t>
      </w:r>
      <w:r w:rsidR="00F77D88">
        <w:rPr>
          <w:rFonts w:ascii="Times New Roman" w:hAnsi="Times New Roman" w:cs="Times New Roman"/>
        </w:rPr>
        <w:t>,</w:t>
      </w:r>
      <w:r w:rsidRPr="00DC4545">
        <w:rPr>
          <w:rFonts w:ascii="Times New Roman" w:hAnsi="Times New Roman" w:cs="Times New Roman"/>
        </w:rPr>
        <w:t>111ha of PAs, no net loss in forested area within PAs.</w:t>
      </w:r>
    </w:p>
    <w:p w14:paraId="0A66B623"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 xml:space="preserve">Conservation of forest in the Mt. St. Catherine area up to 81,652tC in direct benefits, with indirect benefits due to institutional strengthening of measures to promote sustainable SLM, SFM, REDD+ and CC adaptation and BD conservation up to 322,158.3tC. </w:t>
      </w:r>
    </w:p>
    <w:p w14:paraId="42DC6089"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No net loss in mangrove, sea grass and coral reef ecosystems in and around PAs.</w:t>
      </w:r>
    </w:p>
    <w:p w14:paraId="27B64EF1"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 xml:space="preserve">Increased representations of both terrestrial and marine environments. </w:t>
      </w:r>
    </w:p>
    <w:p w14:paraId="21074DA6" w:rsidR="00133632" w:rsidRPr="00DC4545" w:rsidRDefault="00133632" w:rsidP="00CA416F">
      <w:pPr>
        <w:pStyle w:val="ListParagraph"/>
        <w:numPr>
          <w:ilvl w:val="0"/>
          <w:numId w:val="5"/>
        </w:numPr>
        <w:rPr>
          <w:rFonts w:ascii="Times New Roman" w:hAnsi="Times New Roman" w:cs="Times New Roman"/>
        </w:rPr>
      </w:pPr>
      <w:r w:rsidRPr="00DC4545">
        <w:rPr>
          <w:rFonts w:ascii="Times New Roman" w:hAnsi="Times New Roman" w:cs="Times New Roman"/>
        </w:rPr>
        <w:t xml:space="preserve">Active and programmatic management effectiveness as measured by the METT scores using PPG baseline measurements as reference. </w:t>
      </w:r>
    </w:p>
    <w:p w14:paraId="2A967EAF" w:rsidR="00133632" w:rsidRPr="00DC4545" w:rsidRDefault="00023F3C" w:rsidP="009C3E04">
      <w:pPr>
        <w:rPr>
          <w:rFonts w:ascii="Times New Roman" w:hAnsi="Times New Roman" w:cs="Times New Roman"/>
          <w:b/>
        </w:rPr>
      </w:pPr>
      <w:r>
        <w:rPr>
          <w:rFonts w:ascii="Times New Roman" w:hAnsi="Times New Roman" w:cs="Times New Roman"/>
          <w:b/>
        </w:rPr>
        <w:t>Outcome</w:t>
      </w:r>
      <w:r w:rsidR="00133632" w:rsidRPr="00DC4545">
        <w:rPr>
          <w:rFonts w:ascii="Times New Roman" w:hAnsi="Times New Roman" w:cs="Times New Roman"/>
          <w:b/>
        </w:rPr>
        <w:t xml:space="preserve"> #2 (Pilot Area, Beausejour Watershed)</w:t>
      </w:r>
    </w:p>
    <w:p w14:paraId="1DCDDB7E"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Introduction of climate resilient technologies to 6 local area communities within the 1547ha Beausejour watershed, together with the adjacent MPA. </w:t>
      </w:r>
    </w:p>
    <w:p w14:paraId="618997EA"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Direct Carbon benefits through avoided deforestation on about 337.3ha through sustainable land and forest management practices. </w:t>
      </w:r>
    </w:p>
    <w:p w14:paraId="15671BB0"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Increased forest cover of 150ha and removal of bamboo (40ha) through enrichment programs that increase carbon stocks of 4320tC. </w:t>
      </w:r>
    </w:p>
    <w:p w14:paraId="1E54DE4B"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Indirect Carbon benefits through avoided deforestation in all forests in the watershed by local area watershed-level planning and management up to 26,066tC. </w:t>
      </w:r>
    </w:p>
    <w:p w14:paraId="4CC2CEDE"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15% reduction in the sediment and fertilizer and pesticide levels at the 1TPA and the 1 MPA; and with reduced soil erosion on steep landscapes. </w:t>
      </w:r>
    </w:p>
    <w:p w14:paraId="2C5E5984"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Adoption of sustainable agriculture practices at 6 local area communities within the watershed. </w:t>
      </w:r>
    </w:p>
    <w:p w14:paraId="13291A31"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Increased net household incomes. </w:t>
      </w:r>
    </w:p>
    <w:p w14:paraId="28C5AF0C" w:rsidR="00133632" w:rsidRPr="00DC4545" w:rsidRDefault="00133632" w:rsidP="00CA416F">
      <w:pPr>
        <w:pStyle w:val="ListParagraph"/>
        <w:numPr>
          <w:ilvl w:val="0"/>
          <w:numId w:val="6"/>
        </w:numPr>
        <w:rPr>
          <w:rFonts w:ascii="Times New Roman" w:hAnsi="Times New Roman" w:cs="Times New Roman"/>
        </w:rPr>
      </w:pPr>
      <w:r w:rsidRPr="00DC4545">
        <w:rPr>
          <w:rFonts w:ascii="Times New Roman" w:hAnsi="Times New Roman" w:cs="Times New Roman"/>
        </w:rPr>
        <w:t xml:space="preserve">A watershed-level planning and implementation process conducted by an intersectoral committee. </w:t>
      </w:r>
    </w:p>
    <w:p w14:paraId="3D3C54DE" w:rsidR="00133632" w:rsidRPr="00DC4545" w:rsidRDefault="00133632" w:rsidP="009C3E04">
      <w:pPr>
        <w:rPr>
          <w:rFonts w:ascii="Times New Roman" w:hAnsi="Times New Roman" w:cs="Times New Roman"/>
          <w:i/>
        </w:rPr>
      </w:pPr>
      <w:r w:rsidRPr="00DC4545">
        <w:rPr>
          <w:rFonts w:ascii="Times New Roman" w:hAnsi="Times New Roman" w:cs="Times New Roman"/>
          <w:i/>
        </w:rPr>
        <w:t xml:space="preserve">The Baseline Scenario </w:t>
      </w:r>
    </w:p>
    <w:p w14:paraId="03644C8E" w:rsidR="00133632" w:rsidRPr="00DC4545" w:rsidRDefault="00392BA8"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U</w:t>
      </w:r>
      <w:r w:rsidR="00133632" w:rsidRPr="00DC4545">
        <w:rPr>
          <w:rFonts w:ascii="Times New Roman" w:hAnsi="Times New Roman" w:cs="Times New Roman"/>
        </w:rPr>
        <w:t>nder the normal “business as usual” i.e. recurrent activities without GEF intervention, important programs will be developed</w:t>
      </w:r>
      <w:r>
        <w:rPr>
          <w:rFonts w:ascii="Times New Roman" w:hAnsi="Times New Roman" w:cs="Times New Roman"/>
        </w:rPr>
        <w:t>,</w:t>
      </w:r>
      <w:r w:rsidR="00133632" w:rsidRPr="00DC4545">
        <w:rPr>
          <w:rFonts w:ascii="Times New Roman" w:hAnsi="Times New Roman" w:cs="Times New Roman"/>
        </w:rPr>
        <w:t xml:space="preserve"> but such programs by themselves will not overcome the barriers that currently prevent implementation of land and forest management and BD conservation practices on the Grenada landscapes and seascapes in general and within the Beausejour pilot watershed; activities that are expected to secure the flow of ecosystems services while at the same time ensuring ecosystems resilience to CC. The baseline programs are divided into two areas which are in line with the project</w:t>
      </w:r>
      <w:r>
        <w:rPr>
          <w:rFonts w:ascii="Times New Roman" w:hAnsi="Times New Roman" w:cs="Times New Roman"/>
        </w:rPr>
        <w:t>’</w:t>
      </w:r>
      <w:r w:rsidR="00133632" w:rsidRPr="00DC4545">
        <w:rPr>
          <w:rFonts w:ascii="Times New Roman" w:hAnsi="Times New Roman" w:cs="Times New Roman"/>
        </w:rPr>
        <w:t xml:space="preserve">s outcomes. These two areas are described below for the project period. </w:t>
      </w:r>
    </w:p>
    <w:p w14:paraId="139E51A1" w:rsidR="00133632" w:rsidRPr="00DC4545" w:rsidRDefault="00133632" w:rsidP="009C3E04">
      <w:pPr>
        <w:rPr>
          <w:rFonts w:ascii="Times New Roman" w:hAnsi="Times New Roman" w:cs="Times New Roman"/>
          <w:i/>
        </w:rPr>
      </w:pPr>
      <w:r w:rsidRPr="00DC4545">
        <w:rPr>
          <w:rFonts w:ascii="Times New Roman" w:hAnsi="Times New Roman" w:cs="Times New Roman"/>
          <w:i/>
        </w:rPr>
        <w:t xml:space="preserve">A Regulatory and Institutional Framework for Local INRM </w:t>
      </w:r>
    </w:p>
    <w:p w14:paraId="30118F11"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Existing and planned total investments by the Government of Grenada for baseline programs and activities for the 2014-2019 time-period is estimated at US$15,651,822. Baseline activities also include investment in Grenada’s REDD+ Readiness Program. This REDD+ Readiness Program (R-PP) in its incipient stage and administered by Ministry of the Environment will focus on the three components (i) Development of a reference level for the assessment of emission reduction targets (component #1), and (ii) Design of a monitoring system to assess emissions and removals (component #2) Beausejour pilot project for CC mitigation, BD conservation and SFM/REDD+ and SLM. Existing and planned investments for baseline programs and activities for the 2014-2019 time-periods are estimated at US$4,090,000 for Component #2 and US$10,561,822 for Component #1.</w:t>
      </w:r>
    </w:p>
    <w:p w14:paraId="1E2BD969" w:rsidR="00133632" w:rsidRPr="00DC4545" w:rsidRDefault="00133632" w:rsidP="009C3E04">
      <w:pPr>
        <w:rPr>
          <w:rFonts w:ascii="Times New Roman" w:hAnsi="Times New Roman" w:cs="Times New Roman"/>
          <w:i/>
        </w:rPr>
      </w:pPr>
      <w:r w:rsidRPr="00DC4545">
        <w:rPr>
          <w:rFonts w:ascii="Times New Roman" w:hAnsi="Times New Roman" w:cs="Times New Roman"/>
          <w:i/>
        </w:rPr>
        <w:t xml:space="preserve">The GEF Alternative to Generate Global Benefits </w:t>
      </w:r>
    </w:p>
    <w:p w14:paraId="1506DD76"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Despite the important contributions of these existing and planned baseline programs and activities and projects, they are not considered sufficient for strengthening land, forest and coastal management processes and BD conservation to serve the flow of multiple ecosystems services, while at the same time ensuring ecosystem resilience to climate change especially demonstrated in the pilot area of Beausejour watershed. A GEF alternative scenario will help to remove the structural and institutional barriers that prevent Grenada from achieving a regulatory and institutional framework that integrates the principles of SFM and SLM and also strengthen integrated environmental land management capacity. The proposed GEF intervention to achieve the objective consists of two inter-related components that will contribute to reducing deforestation, preventing LD improving the BD and enhancing carbon sequestration within the Grenada environment as a whole. A description of the benefits of the GEF alternative scenario is as follows. </w:t>
      </w:r>
    </w:p>
    <w:p w14:paraId="35305C5C" w:rsidR="00133632" w:rsidRPr="003811AE"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3811AE">
        <w:rPr>
          <w:rFonts w:ascii="Times New Roman" w:hAnsi="Times New Roman" w:cs="Times New Roman"/>
        </w:rPr>
        <w:t>The GEF alternative scenario will integrate principles of SFM/REDD</w:t>
      </w:r>
      <w:r w:rsidRPr="003811AE">
        <w:rPr>
          <w:rFonts w:ascii="Times New Roman" w:hAnsi="Times New Roman" w:cs="Times New Roman"/>
          <w:vertAlign w:val="superscript"/>
        </w:rPr>
        <w:t>+</w:t>
      </w:r>
      <w:r w:rsidRPr="003811AE">
        <w:rPr>
          <w:rFonts w:ascii="Times New Roman" w:hAnsi="Times New Roman" w:cs="Times New Roman"/>
        </w:rPr>
        <w:t xml:space="preserve"> and SLM into a regulatory and institutional framework and will strengthen integrated land and coastal zone management capacity. </w:t>
      </w:r>
      <w:r w:rsidR="00EB011E">
        <w:rPr>
          <w:rFonts w:ascii="Times New Roman" w:hAnsi="Times New Roman" w:cs="Times New Roman"/>
          <w:highlight w:val="yellow"/>
        </w:rPr>
        <w:t>As ment</w:t>
      </w:r>
      <w:r w:rsidR="001571FA">
        <w:rPr>
          <w:rFonts w:ascii="Times New Roman" w:hAnsi="Times New Roman" w:cs="Times New Roman"/>
          <w:highlight w:val="yellow"/>
        </w:rPr>
        <w:t>ioned above, the Govern</w:t>
      </w:r>
      <w:r w:rsidR="00EB011E">
        <w:rPr>
          <w:rFonts w:ascii="Times New Roman" w:hAnsi="Times New Roman" w:cs="Times New Roman"/>
          <w:highlight w:val="yellow"/>
        </w:rPr>
        <w:t>ment’s</w:t>
      </w:r>
      <w:r w:rsidR="003811AE" w:rsidRPr="003811AE">
        <w:rPr>
          <w:rFonts w:ascii="Times New Roman" w:hAnsi="Times New Roman" w:cs="Times New Roman"/>
          <w:highlight w:val="yellow"/>
        </w:rPr>
        <w:t xml:space="preserve"> baseline, alone, will not generate global benefits.  Rather, through the project, GEF and UNDP funding will </w:t>
      </w:r>
      <w:r w:rsidR="001571FA">
        <w:rPr>
          <w:rFonts w:ascii="Times New Roman" w:hAnsi="Times New Roman" w:cs="Times New Roman"/>
          <w:highlight w:val="yellow"/>
        </w:rPr>
        <w:t xml:space="preserve">be used to </w:t>
      </w:r>
      <w:r w:rsidR="00EB011E">
        <w:rPr>
          <w:rFonts w:ascii="Times New Roman" w:hAnsi="Times New Roman" w:cs="Times New Roman"/>
          <w:highlight w:val="yellow"/>
        </w:rPr>
        <w:t xml:space="preserve">work with the Government to </w:t>
      </w:r>
      <w:r w:rsidR="003811AE" w:rsidRPr="003811AE">
        <w:rPr>
          <w:rFonts w:ascii="Times New Roman" w:hAnsi="Times New Roman" w:cs="Times New Roman"/>
          <w:highlight w:val="yellow"/>
        </w:rPr>
        <w:t xml:space="preserve">create the impetus needed to </w:t>
      </w:r>
      <w:r w:rsidR="001571FA">
        <w:rPr>
          <w:rFonts w:ascii="Times New Roman" w:hAnsi="Times New Roman" w:cs="Times New Roman"/>
          <w:highlight w:val="yellow"/>
        </w:rPr>
        <w:t>boost</w:t>
      </w:r>
      <w:r w:rsidR="003811AE" w:rsidRPr="003811AE">
        <w:rPr>
          <w:rFonts w:ascii="Times New Roman" w:hAnsi="Times New Roman" w:cs="Times New Roman"/>
          <w:highlight w:val="yellow"/>
        </w:rPr>
        <w:t xml:space="preserve"> the baseline’s impact to reach the necessary level to generate global benefits.  </w:t>
      </w:r>
      <w:r w:rsidRPr="003811AE">
        <w:rPr>
          <w:rFonts w:ascii="Times New Roman" w:hAnsi="Times New Roman" w:cs="Times New Roman"/>
          <w:highlight w:val="yellow"/>
        </w:rPr>
        <w:t>T</w:t>
      </w:r>
      <w:r w:rsidR="003811AE" w:rsidRPr="003811AE">
        <w:rPr>
          <w:rFonts w:ascii="Times New Roman" w:hAnsi="Times New Roman" w:cs="Times New Roman"/>
          <w:highlight w:val="yellow"/>
        </w:rPr>
        <w:t>o this end, t</w:t>
      </w:r>
      <w:r w:rsidRPr="003811AE">
        <w:rPr>
          <w:rFonts w:ascii="Times New Roman" w:hAnsi="Times New Roman" w:cs="Times New Roman"/>
          <w:highlight w:val="yellow"/>
        </w:rPr>
        <w:t xml:space="preserve">he project co-financiers/ co-programmers state their commitment to the project through their signed </w:t>
      </w:r>
      <w:r w:rsidR="00BC51AC" w:rsidRPr="003811AE">
        <w:rPr>
          <w:rFonts w:ascii="Times New Roman" w:hAnsi="Times New Roman" w:cs="Times New Roman"/>
          <w:highlight w:val="yellow"/>
        </w:rPr>
        <w:t xml:space="preserve">co-finance </w:t>
      </w:r>
      <w:r w:rsidRPr="003811AE">
        <w:rPr>
          <w:rFonts w:ascii="Times New Roman" w:hAnsi="Times New Roman" w:cs="Times New Roman"/>
          <w:highlight w:val="yellow"/>
        </w:rPr>
        <w:t>letters</w:t>
      </w:r>
      <w:r w:rsidR="00BC51AC" w:rsidRPr="003811AE">
        <w:rPr>
          <w:rFonts w:ascii="Times New Roman" w:hAnsi="Times New Roman" w:cs="Times New Roman"/>
          <w:highlight w:val="yellow"/>
        </w:rPr>
        <w:t xml:space="preserve"> in Annex 9</w:t>
      </w:r>
      <w:r w:rsidRPr="003811AE">
        <w:rPr>
          <w:rFonts w:ascii="Times New Roman" w:hAnsi="Times New Roman" w:cs="Times New Roman"/>
        </w:rPr>
        <w:t xml:space="preserve">. </w:t>
      </w:r>
    </w:p>
    <w:p w14:paraId="0430CCF3" w:rsidR="006D7FB2" w:rsidRPr="00DC4545" w:rsidRDefault="006D7FB2" w:rsidP="00205221">
      <w:pPr>
        <w:pStyle w:val="ListParagraph"/>
        <w:spacing w:after="240" w:line="240" w:lineRule="auto"/>
        <w:ind w:left="0"/>
        <w:contextualSpacing w:val="0"/>
        <w:jc w:val="both"/>
        <w:rPr>
          <w:rFonts w:ascii="Times New Roman" w:hAnsi="Times New Roman" w:cs="Times New Roman"/>
        </w:rPr>
        <w:sectPr w:rsidR="006D7FB2" w:rsidRPr="00DC4545" w:rsidSect="00005220">
          <w:footerReference w:type="default" r:id="rId19"/>
          <w:type w:val="continuous"/>
          <w:pgSz w:w="12240" w:h="15840"/>
          <w:pgMar w:top="990" w:right="1440" w:bottom="1440" w:left="1440" w:header="720" w:footer="432" w:gutter="0"/>
          <w:cols w:space="720"/>
          <w:docGrid w:linePitch="360"/>
        </w:sectPr>
      </w:pPr>
    </w:p>
    <w:p w14:paraId="6046C39A" w:rsidR="00F165D0" w:rsidRDefault="00F165D0" w:rsidP="00F165D0">
      <w:pPr>
        <w:pStyle w:val="Heading1"/>
      </w:pPr>
      <w:bookmarkStart w:id="44" w:name="_Toc389820974"/>
      <w:r w:rsidRPr="00685F50">
        <w:t>SECTION II:   PROJECT RESULTS FRAMEWORK:</w:t>
      </w:r>
      <w:bookmarkEnd w:id="44"/>
    </w:p>
    <w:p w14:paraId="43AB43E1" w:rsidR="009252F4" w:rsidRPr="009252F4" w:rsidRDefault="009252F4" w:rsidP="009252F4">
      <w:pPr>
        <w:spacing w:after="0" w:line="240" w:lineRule="auto"/>
        <w:rPr>
          <w:rFonts w:ascii="Times New Roman" w:eastAsia="Times New Roman" w:hAnsi="Times New Roman" w:cs="Times New Roman"/>
        </w:rPr>
      </w:pPr>
    </w:p>
    <w:tbl>
      <w:tblPr>
        <w:tblStyle w:val="TableGrid5"/>
        <w:tblpPr w:leftFromText="180" w:rightFromText="180" w:vertAnchor="page" w:horzAnchor="margin" w:tblpX="-684" w:tblpY="2212"/>
        <w:tblW w:w="14508" w:type="dxa"/>
        <w:tblLook w:val="04A0" w:firstRow="1" w:lastRow="0" w:firstColumn="1" w:lastColumn="0" w:noHBand="0" w:noVBand="1"/>
      </w:tblPr>
      <w:tblGrid>
        <w:gridCol w:w="2088"/>
        <w:gridCol w:w="1980"/>
        <w:gridCol w:w="2790"/>
        <w:gridCol w:w="2880"/>
        <w:gridCol w:w="2250"/>
        <w:gridCol w:w="2520"/>
      </w:tblGrid>
      <w:tr w14:paraId="655C2589" w:rsidR="009252F4" w:rsidRPr="009252F4" w:rsidTr="009252F4">
        <w:trPr>
          <w:trHeight w:val="310"/>
        </w:trPr>
        <w:tc>
          <w:tcPr>
            <w:tcW w:w="14508" w:type="dxa"/>
            <w:gridSpan w:val="6"/>
          </w:tcPr>
          <w:p w14:paraId="09B2329D"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Part V (I) -    PROJECT RESULTS FRAMEWORK:</w:t>
            </w:r>
          </w:p>
        </w:tc>
      </w:tr>
      <w:tr w14:paraId="20B67A4F" w:rsidR="009252F4" w:rsidRPr="009252F4" w:rsidTr="009252F4">
        <w:trPr>
          <w:trHeight w:val="459"/>
        </w:trPr>
        <w:tc>
          <w:tcPr>
            <w:tcW w:w="14508" w:type="dxa"/>
            <w:gridSpan w:val="6"/>
          </w:tcPr>
          <w:p w14:paraId="26047981"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The Project Will Contribute to Achieving Country Programme Outcomes in the CPAP or CPD</w:t>
            </w:r>
            <w:r w:rsidRPr="009252F4">
              <w:rPr>
                <w:rFonts w:ascii="Times New Roman" w:hAnsi="Times New Roman" w:cs="Times New Roman"/>
                <w:sz w:val="20"/>
                <w:szCs w:val="20"/>
              </w:rPr>
              <w:t>: protecting biodiversity and ecosystems functions in and around protected areas.</w:t>
            </w:r>
          </w:p>
        </w:tc>
      </w:tr>
      <w:tr w14:paraId="5DDF753F" w:rsidR="009252F4" w:rsidRPr="009252F4" w:rsidTr="009252F4">
        <w:trPr>
          <w:trHeight w:val="523"/>
        </w:trPr>
        <w:tc>
          <w:tcPr>
            <w:tcW w:w="14508" w:type="dxa"/>
            <w:gridSpan w:val="6"/>
          </w:tcPr>
          <w:p w14:paraId="1DF64AC0"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Country Progamme Outcome Indicators:</w:t>
            </w:r>
            <w:r w:rsidRPr="009252F4">
              <w:rPr>
                <w:rFonts w:ascii="Times New Roman" w:hAnsi="Times New Roman" w:cs="Times New Roman"/>
                <w:sz w:val="20"/>
                <w:szCs w:val="20"/>
              </w:rPr>
              <w:t xml:space="preserve"> strengthened national capacities for protected areas management so as to conserve and manage the biodiversity and ecosystems functions. </w:t>
            </w:r>
          </w:p>
        </w:tc>
      </w:tr>
      <w:tr w14:paraId="0D29A51B" w:rsidR="009252F4" w:rsidRPr="009252F4" w:rsidTr="009252F4">
        <w:trPr>
          <w:trHeight w:val="641"/>
        </w:trPr>
        <w:tc>
          <w:tcPr>
            <w:tcW w:w="14508" w:type="dxa"/>
            <w:gridSpan w:val="6"/>
          </w:tcPr>
          <w:p w14:paraId="16F10DBF"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b/>
                <w:sz w:val="20"/>
                <w:szCs w:val="20"/>
              </w:rPr>
              <w:t>Primary Applicable Key Environmental and Sustainable Development Result Area:</w:t>
            </w:r>
            <w:r w:rsidRPr="009252F4">
              <w:rPr>
                <w:rFonts w:ascii="Times New Roman" w:hAnsi="Times New Roman" w:cs="Times New Roman"/>
                <w:sz w:val="20"/>
                <w:szCs w:val="20"/>
              </w:rPr>
              <w:t xml:space="preserve"> Mainstreaming protected areas management, viability of protected areas system and application of management effectiveness tracking tools in the context of global benefits.</w:t>
            </w:r>
          </w:p>
        </w:tc>
      </w:tr>
      <w:tr w14:paraId="1BB3AF72" w:rsidR="009252F4" w:rsidRPr="009252F4" w:rsidTr="009252F4">
        <w:trPr>
          <w:trHeight w:val="440"/>
        </w:trPr>
        <w:tc>
          <w:tcPr>
            <w:tcW w:w="14508" w:type="dxa"/>
            <w:gridSpan w:val="6"/>
          </w:tcPr>
          <w:p w14:paraId="0912DC1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b/>
                <w:sz w:val="20"/>
                <w:szCs w:val="20"/>
              </w:rPr>
              <w:t xml:space="preserve">Applicable GEF Strategic Objective and Programs: </w:t>
            </w:r>
            <w:r w:rsidRPr="009252F4">
              <w:rPr>
                <w:rFonts w:ascii="Times New Roman" w:hAnsi="Times New Roman" w:cs="Times New Roman"/>
                <w:sz w:val="20"/>
                <w:szCs w:val="20"/>
              </w:rPr>
              <w:t xml:space="preserve">SOI-Improve Sustainability of Protected Areas Systems. </w:t>
            </w:r>
          </w:p>
        </w:tc>
      </w:tr>
      <w:tr w14:paraId="3DBE3C87" w:rsidR="009252F4" w:rsidRPr="009252F4" w:rsidTr="009252F4">
        <w:trPr>
          <w:trHeight w:val="875"/>
        </w:trPr>
        <w:tc>
          <w:tcPr>
            <w:tcW w:w="14508" w:type="dxa"/>
            <w:gridSpan w:val="6"/>
          </w:tcPr>
          <w:p w14:paraId="0957FDB5"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b/>
                <w:sz w:val="20"/>
                <w:szCs w:val="20"/>
              </w:rPr>
              <w:t>Applicable GEF Expected Outcomes:</w:t>
            </w:r>
            <w:r w:rsidRPr="009252F4">
              <w:rPr>
                <w:rFonts w:ascii="Times New Roman" w:hAnsi="Times New Roman" w:cs="Times New Roman"/>
                <w:sz w:val="20"/>
                <w:szCs w:val="20"/>
              </w:rPr>
              <w:t xml:space="preserve"> Outcome 1.1 – Improved Management effectiveness of existing and new protected areas (BD-1); Outcome 3.2- Integrated Landscape management practices adopted by 6 local area communities (LD-3); Outcome 1.3 – Good management practices adopted by relevant economic factors (vested interests) (SFM/REDD-1)</w:t>
            </w:r>
          </w:p>
        </w:tc>
      </w:tr>
      <w:tr w14:paraId="423926E5" w:rsidR="009252F4" w:rsidRPr="009252F4" w:rsidTr="009252F4">
        <w:trPr>
          <w:trHeight w:val="328"/>
        </w:trPr>
        <w:tc>
          <w:tcPr>
            <w:tcW w:w="14508" w:type="dxa"/>
            <w:gridSpan w:val="6"/>
            <w:tcBorders>
              <w:bottom w:val="single" w:sz="4" w:space="0" w:color="auto"/>
            </w:tcBorders>
          </w:tcPr>
          <w:p w14:paraId="5D924427"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Applicable GEF Outcome Indicators:</w:t>
            </w:r>
            <w:r w:rsidRPr="009252F4">
              <w:rPr>
                <w:rFonts w:ascii="Times New Roman" w:hAnsi="Times New Roman" w:cs="Times New Roman"/>
                <w:sz w:val="20"/>
                <w:szCs w:val="20"/>
              </w:rPr>
              <w:t xml:space="preserve"> indicator 1.1  5 new PAs and coverage of 12,400ha. of unprotected ecosystems (BD-1); 3.2 INRM tools and methodologies tested (LD-3); 3.4 Information on INRM technologies and food practice guidelines disseminated (LD-3), 1.3 types and quantity of services generated through SFM (SFM/REDD-1) all scored as recorded by management effectiveness tracking tool (METT).</w:t>
            </w:r>
          </w:p>
        </w:tc>
      </w:tr>
      <w:tr w14:paraId="4A8A7E7D" w:rsidR="009252F4" w:rsidRPr="009252F4" w:rsidTr="009252F4">
        <w:trPr>
          <w:trHeight w:val="328"/>
        </w:trPr>
        <w:tc>
          <w:tcPr>
            <w:tcW w:w="2088" w:type="dxa"/>
            <w:shd w:val="clear" w:color="auto" w:fill="F2F2F2" w:themeFill="background1" w:themeFillShade="F2"/>
            <w:vAlign w:val="center"/>
          </w:tcPr>
          <w:p w14:paraId="5E0F3D81"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Project Objective</w:t>
            </w:r>
          </w:p>
        </w:tc>
        <w:tc>
          <w:tcPr>
            <w:tcW w:w="1980" w:type="dxa"/>
            <w:shd w:val="clear" w:color="auto" w:fill="F2F2F2" w:themeFill="background1" w:themeFillShade="F2"/>
            <w:vAlign w:val="center"/>
          </w:tcPr>
          <w:p w14:paraId="50A404CD"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Indicator</w:t>
            </w:r>
          </w:p>
        </w:tc>
        <w:tc>
          <w:tcPr>
            <w:tcW w:w="2790" w:type="dxa"/>
            <w:shd w:val="clear" w:color="auto" w:fill="F2F2F2" w:themeFill="background1" w:themeFillShade="F2"/>
            <w:vAlign w:val="center"/>
          </w:tcPr>
          <w:p w14:paraId="640E4ADA"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Baseline</w:t>
            </w:r>
          </w:p>
        </w:tc>
        <w:tc>
          <w:tcPr>
            <w:tcW w:w="2880" w:type="dxa"/>
            <w:shd w:val="clear" w:color="auto" w:fill="F2F2F2" w:themeFill="background1" w:themeFillShade="F2"/>
            <w:vAlign w:val="center"/>
          </w:tcPr>
          <w:p w14:paraId="6B228D86"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Target</w:t>
            </w:r>
          </w:p>
        </w:tc>
        <w:tc>
          <w:tcPr>
            <w:tcW w:w="2250" w:type="dxa"/>
            <w:shd w:val="clear" w:color="auto" w:fill="F2F2F2" w:themeFill="background1" w:themeFillShade="F2"/>
            <w:vAlign w:val="center"/>
          </w:tcPr>
          <w:p w14:paraId="5054D5C8"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Means of Verification</w:t>
            </w:r>
          </w:p>
        </w:tc>
        <w:tc>
          <w:tcPr>
            <w:tcW w:w="2520" w:type="dxa"/>
            <w:shd w:val="clear" w:color="auto" w:fill="F2F2F2" w:themeFill="background1" w:themeFillShade="F2"/>
            <w:vAlign w:val="center"/>
          </w:tcPr>
          <w:p w14:paraId="1EE5C299"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Risks and Assumptions</w:t>
            </w:r>
          </w:p>
        </w:tc>
      </w:tr>
      <w:tr w14:paraId="12ED11F3" w:rsidR="009252F4" w:rsidRPr="009252F4" w:rsidTr="009252F4">
        <w:trPr>
          <w:trHeight w:val="328"/>
        </w:trPr>
        <w:tc>
          <w:tcPr>
            <w:tcW w:w="2088" w:type="dxa"/>
            <w:vMerge w:val="restart"/>
            <w:vAlign w:val="center"/>
          </w:tcPr>
          <w:p w14:paraId="20BA4D05"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To ensure that biodiversity (BD) and ecosystems functions within and around Marine Protected Areas (MPAs) and Terrestrial Protected Areas (TPAs) in Grenada are better protected from threats through the adoption of an integrated “Ridge to Reef” approach that increases Protected Area (PA) management effectiveness and applies targeted sustainable land management practices.</w:t>
            </w:r>
          </w:p>
        </w:tc>
        <w:tc>
          <w:tcPr>
            <w:tcW w:w="1980" w:type="dxa"/>
          </w:tcPr>
          <w:p w14:paraId="6926ED2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PA management in Grenada is mainstreamed</w:t>
            </w:r>
          </w:p>
          <w:p w14:paraId="255F12F4" w:rsidR="009252F4" w:rsidRPr="009252F4" w:rsidRDefault="009252F4" w:rsidP="009252F4">
            <w:pPr>
              <w:rPr>
                <w:rFonts w:ascii="Times New Roman" w:hAnsi="Times New Roman" w:cs="Times New Roman"/>
                <w:b/>
                <w:sz w:val="20"/>
                <w:szCs w:val="20"/>
              </w:rPr>
            </w:pPr>
          </w:p>
        </w:tc>
        <w:tc>
          <w:tcPr>
            <w:tcW w:w="2790" w:type="dxa"/>
          </w:tcPr>
          <w:p w14:paraId="40E54D6D" w:rsidR="009252F4" w:rsidRPr="009252F4" w:rsidRDefault="009252F4" w:rsidP="009252F4">
            <w:pPr>
              <w:widowControl w:val="0"/>
              <w:numPr>
                <w:ilvl w:val="0"/>
                <w:numId w:val="70"/>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TPAs managed by Forestry Division and MPAs managed under the Fisheries Division with varying degrees of recognition and planning &amp; management tools.</w:t>
            </w:r>
          </w:p>
        </w:tc>
        <w:tc>
          <w:tcPr>
            <w:tcW w:w="2880" w:type="dxa"/>
          </w:tcPr>
          <w:p w14:paraId="5BBBE8FD" w:rsidR="009252F4" w:rsidRPr="009252F4" w:rsidRDefault="009252F4" w:rsidP="009252F4">
            <w:pPr>
              <w:widowControl w:val="0"/>
              <w:numPr>
                <w:ilvl w:val="0"/>
                <w:numId w:val="70"/>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TPA and MPA planning &amp; management instruments and guidelines formally incorporated into the Government’s Administration</w:t>
            </w:r>
          </w:p>
        </w:tc>
        <w:tc>
          <w:tcPr>
            <w:tcW w:w="2250" w:type="dxa"/>
          </w:tcPr>
          <w:p w14:paraId="57D2EFCF"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PA planning and management instruments and guidelines.</w:t>
            </w:r>
          </w:p>
          <w:p w14:paraId="79F8825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M/E records kept by the Project management unit</w:t>
            </w:r>
          </w:p>
        </w:tc>
        <w:tc>
          <w:tcPr>
            <w:tcW w:w="2520" w:type="dxa"/>
            <w:vMerge w:val="restart"/>
          </w:tcPr>
          <w:p w14:paraId="3A8F1FFB"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Assumptions:</w:t>
            </w:r>
          </w:p>
          <w:p w14:paraId="2807F311"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Institutional stability and commitment of GoG throughout project implementation.</w:t>
            </w:r>
          </w:p>
          <w:p w14:paraId="62301E1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Consensus among stakeholders for PA expansion and connectivity.</w:t>
            </w:r>
          </w:p>
          <w:p w14:paraId="2A1FF288"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National/International conditions remain stable. </w:t>
            </w:r>
          </w:p>
          <w:p w14:paraId="7F311CA7"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Willingness of government to commit funding and resources to make the PAs system viable and resilient.  </w:t>
            </w:r>
          </w:p>
          <w:p w14:paraId="425A2967" w:rsidR="009252F4" w:rsidRPr="009252F4" w:rsidRDefault="009252F4" w:rsidP="009252F4">
            <w:pPr>
              <w:rPr>
                <w:rFonts w:ascii="Times New Roman" w:hAnsi="Times New Roman" w:cs="Times New Roman"/>
                <w:sz w:val="20"/>
                <w:szCs w:val="20"/>
              </w:rPr>
            </w:pPr>
          </w:p>
          <w:p w14:paraId="17551B09" w:rsidR="009252F4" w:rsidRPr="009252F4" w:rsidRDefault="009252F4" w:rsidP="009252F4">
            <w:pPr>
              <w:rPr>
                <w:rFonts w:ascii="Times New Roman" w:hAnsi="Times New Roman" w:cs="Times New Roman"/>
                <w:sz w:val="20"/>
                <w:szCs w:val="20"/>
                <w:u w:val="single"/>
              </w:rPr>
            </w:pPr>
            <w:r w:rsidRPr="009252F4">
              <w:rPr>
                <w:rFonts w:ascii="Times New Roman" w:hAnsi="Times New Roman" w:cs="Times New Roman"/>
                <w:b/>
                <w:sz w:val="20"/>
                <w:szCs w:val="20"/>
                <w:u w:val="single"/>
              </w:rPr>
              <w:t>Risks</w:t>
            </w:r>
            <w:r w:rsidRPr="009252F4">
              <w:rPr>
                <w:rFonts w:ascii="Times New Roman" w:hAnsi="Times New Roman" w:cs="Times New Roman"/>
                <w:sz w:val="20"/>
                <w:szCs w:val="20"/>
              </w:rPr>
              <w:t>: Extreme weather,</w:t>
            </w:r>
            <w:r w:rsidRPr="009252F4">
              <w:rPr>
                <w:rFonts w:ascii="Times New Roman" w:hAnsi="Times New Roman" w:cs="Times New Roman"/>
                <w:b/>
                <w:sz w:val="20"/>
                <w:szCs w:val="20"/>
                <w:u w:val="single"/>
              </w:rPr>
              <w:t xml:space="preserve"> </w:t>
            </w:r>
            <w:r w:rsidRPr="009252F4">
              <w:rPr>
                <w:rFonts w:ascii="Times New Roman" w:hAnsi="Times New Roman" w:cs="Times New Roman"/>
                <w:sz w:val="20"/>
                <w:szCs w:val="20"/>
              </w:rPr>
              <w:t>fires, pests and invasive species are beyond predicted levels.</w:t>
            </w:r>
          </w:p>
        </w:tc>
      </w:tr>
      <w:tr w14:paraId="09E00460" w:rsidR="009252F4" w:rsidRPr="009252F4" w:rsidTr="009252F4">
        <w:trPr>
          <w:trHeight w:val="328"/>
        </w:trPr>
        <w:tc>
          <w:tcPr>
            <w:tcW w:w="2088" w:type="dxa"/>
            <w:vMerge/>
            <w:vAlign w:val="center"/>
          </w:tcPr>
          <w:p w14:paraId="77C961FC" w:rsidR="009252F4" w:rsidRPr="009252F4" w:rsidRDefault="009252F4" w:rsidP="009252F4">
            <w:pPr>
              <w:rPr>
                <w:rFonts w:ascii="Times New Roman" w:hAnsi="Times New Roman" w:cs="Times New Roman"/>
                <w:sz w:val="20"/>
                <w:szCs w:val="20"/>
              </w:rPr>
            </w:pPr>
          </w:p>
        </w:tc>
        <w:tc>
          <w:tcPr>
            <w:tcW w:w="1980" w:type="dxa"/>
          </w:tcPr>
          <w:p w14:paraId="03AA22A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Financial sustainability to increase viability and resilience of the PA system in Grenada </w:t>
            </w:r>
          </w:p>
        </w:tc>
        <w:tc>
          <w:tcPr>
            <w:tcW w:w="2790" w:type="dxa"/>
          </w:tcPr>
          <w:p w14:paraId="7770D0EF" w:rsidR="009252F4" w:rsidRPr="009252F4" w:rsidRDefault="009252F4" w:rsidP="009252F4">
            <w:pPr>
              <w:widowControl w:val="0"/>
              <w:numPr>
                <w:ilvl w:val="0"/>
                <w:numId w:val="7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Insufficient financial resources for basic functions in the Forestry and Tourism Divisions as reflected by Financial Scorecard: 70 = 32%</w:t>
            </w:r>
          </w:p>
          <w:p w14:paraId="112B3930" w:rsidR="009252F4" w:rsidRPr="009252F4" w:rsidRDefault="009252F4" w:rsidP="009252F4">
            <w:pPr>
              <w:rPr>
                <w:rFonts w:ascii="Times New Roman" w:hAnsi="Times New Roman" w:cs="Times New Roman"/>
                <w:sz w:val="20"/>
                <w:szCs w:val="20"/>
              </w:rPr>
            </w:pPr>
          </w:p>
          <w:p w14:paraId="35D1C11F" w:rsidR="009252F4" w:rsidRPr="009252F4" w:rsidRDefault="009252F4" w:rsidP="009252F4">
            <w:pPr>
              <w:rPr>
                <w:rFonts w:ascii="Times New Roman" w:hAnsi="Times New Roman" w:cs="Times New Roman"/>
                <w:sz w:val="20"/>
                <w:szCs w:val="20"/>
              </w:rPr>
            </w:pPr>
          </w:p>
          <w:p w14:paraId="10AAAA12" w:rsidR="009252F4" w:rsidRPr="009252F4" w:rsidRDefault="009252F4" w:rsidP="009252F4">
            <w:pPr>
              <w:ind w:left="720"/>
              <w:contextualSpacing/>
              <w:rPr>
                <w:rFonts w:ascii="Times New Roman" w:hAnsi="Times New Roman" w:cs="Times New Roman"/>
                <w:sz w:val="20"/>
                <w:szCs w:val="20"/>
              </w:rPr>
            </w:pPr>
          </w:p>
          <w:p w14:paraId="0A163E15" w:rsidR="009252F4" w:rsidRPr="009252F4" w:rsidRDefault="009252F4" w:rsidP="009252F4">
            <w:pPr>
              <w:widowControl w:val="0"/>
              <w:numPr>
                <w:ilvl w:val="0"/>
                <w:numId w:val="7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formal coordination mechanism for investments in maintenance of the PA system.</w:t>
            </w:r>
          </w:p>
        </w:tc>
        <w:tc>
          <w:tcPr>
            <w:tcW w:w="2880" w:type="dxa"/>
          </w:tcPr>
          <w:p w14:paraId="6B077284" w:rsidR="009252F4" w:rsidRPr="009252F4" w:rsidRDefault="009252F4" w:rsidP="009252F4">
            <w:pPr>
              <w:widowControl w:val="0"/>
              <w:numPr>
                <w:ilvl w:val="0"/>
                <w:numId w:val="71"/>
              </w:numPr>
              <w:kinsoku w:val="0"/>
              <w:overflowPunct w:val="0"/>
              <w:contextualSpacing/>
              <w:textAlignment w:val="baseline"/>
              <w:rPr>
                <w:rFonts w:ascii="Times New Roman" w:hAnsi="Times New Roman" w:cs="Times New Roman"/>
                <w:color w:val="7030A0"/>
                <w:sz w:val="20"/>
                <w:szCs w:val="20"/>
              </w:rPr>
            </w:pPr>
            <w:r w:rsidRPr="009252F4">
              <w:rPr>
                <w:rFonts w:ascii="Times New Roman" w:hAnsi="Times New Roman" w:cs="Times New Roman"/>
                <w:sz w:val="20"/>
                <w:szCs w:val="20"/>
              </w:rPr>
              <w:t>Budgetary restructuring to foster strategic collaboration between fisheries, forestry and tourism to increase (double) budgetary allocations to 8 PAs as eco-sites, as reflected by increase in Financial Scorecard: 90 = 42%</w:t>
            </w:r>
          </w:p>
          <w:p w14:paraId="33E45729" w:rsidR="009252F4" w:rsidRPr="009252F4" w:rsidRDefault="009252F4" w:rsidP="009252F4">
            <w:pPr>
              <w:ind w:left="360"/>
              <w:contextualSpacing/>
              <w:rPr>
                <w:rFonts w:ascii="Times New Roman" w:hAnsi="Times New Roman" w:cs="Times New Roman"/>
                <w:sz w:val="20"/>
                <w:szCs w:val="20"/>
              </w:rPr>
            </w:pPr>
          </w:p>
          <w:p w14:paraId="412B25A8" w:rsidR="009252F4" w:rsidRPr="009252F4" w:rsidRDefault="009252F4" w:rsidP="009252F4">
            <w:pPr>
              <w:widowControl w:val="0"/>
              <w:numPr>
                <w:ilvl w:val="0"/>
                <w:numId w:val="7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Inter-sectoral coordination committee established to oversee investments in PAs</w:t>
            </w:r>
          </w:p>
        </w:tc>
        <w:tc>
          <w:tcPr>
            <w:tcW w:w="2250" w:type="dxa"/>
          </w:tcPr>
          <w:p w14:paraId="360C0D79"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Forestry, fisheries tourism and program recurrent and capital budgets.</w:t>
            </w:r>
          </w:p>
          <w:p w14:paraId="65871093"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METT Financial Scorecard</w:t>
            </w:r>
            <w:r w:rsidRPr="009252F4">
              <w:t xml:space="preserve"> </w:t>
            </w:r>
            <w:r w:rsidRPr="009252F4">
              <w:rPr>
                <w:rFonts w:ascii="Times New Roman" w:hAnsi="Times New Roman" w:cs="Times New Roman"/>
                <w:sz w:val="20"/>
                <w:szCs w:val="20"/>
              </w:rPr>
              <w:t>applied at PPG, MTR, and TE</w:t>
            </w:r>
          </w:p>
          <w:p w14:paraId="401C9BE7"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M/E Records</w:t>
            </w:r>
          </w:p>
          <w:p w14:paraId="4462D8A8" w:rsidR="009252F4" w:rsidRPr="009252F4" w:rsidRDefault="009252F4" w:rsidP="009252F4">
            <w:pPr>
              <w:rPr>
                <w:rFonts w:ascii="Times New Roman" w:hAnsi="Times New Roman" w:cs="Times New Roman"/>
                <w:sz w:val="20"/>
                <w:szCs w:val="20"/>
              </w:rPr>
            </w:pPr>
          </w:p>
        </w:tc>
        <w:tc>
          <w:tcPr>
            <w:tcW w:w="2520" w:type="dxa"/>
            <w:vMerge/>
          </w:tcPr>
          <w:p w14:paraId="51221181" w:rsidR="009252F4" w:rsidRPr="009252F4" w:rsidRDefault="009252F4" w:rsidP="009252F4">
            <w:pPr>
              <w:rPr>
                <w:rFonts w:ascii="Times New Roman" w:hAnsi="Times New Roman" w:cs="Times New Roman"/>
                <w:sz w:val="20"/>
                <w:szCs w:val="20"/>
              </w:rPr>
            </w:pPr>
          </w:p>
        </w:tc>
      </w:tr>
      <w:tr w14:paraId="190E3F6C" w:rsidR="009252F4" w:rsidRPr="009252F4" w:rsidTr="009252F4">
        <w:trPr>
          <w:trHeight w:val="328"/>
        </w:trPr>
        <w:tc>
          <w:tcPr>
            <w:tcW w:w="2088" w:type="dxa"/>
            <w:vMerge/>
            <w:vAlign w:val="center"/>
          </w:tcPr>
          <w:p w14:paraId="0FF1EDD2" w:rsidR="009252F4" w:rsidRPr="009252F4" w:rsidRDefault="009252F4" w:rsidP="009252F4">
            <w:pPr>
              <w:rPr>
                <w:rFonts w:ascii="Times New Roman" w:hAnsi="Times New Roman" w:cs="Times New Roman"/>
                <w:sz w:val="20"/>
                <w:szCs w:val="20"/>
              </w:rPr>
            </w:pPr>
          </w:p>
        </w:tc>
        <w:tc>
          <w:tcPr>
            <w:tcW w:w="1980" w:type="dxa"/>
          </w:tcPr>
          <w:p w14:paraId="24C58148"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Average METT scores of 6 existing TPAs and 3 MPAs</w:t>
            </w:r>
          </w:p>
        </w:tc>
        <w:tc>
          <w:tcPr>
            <w:tcW w:w="2790" w:type="dxa"/>
          </w:tcPr>
          <w:p w14:paraId="526F139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53</w:t>
            </w:r>
          </w:p>
        </w:tc>
        <w:tc>
          <w:tcPr>
            <w:tcW w:w="2880" w:type="dxa"/>
          </w:tcPr>
          <w:p w14:paraId="68F7E597"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62</w:t>
            </w:r>
          </w:p>
        </w:tc>
        <w:tc>
          <w:tcPr>
            <w:tcW w:w="2250" w:type="dxa"/>
          </w:tcPr>
          <w:p w14:paraId="378F8D28"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METT Scorecard applied at PPG, MTR, and TE</w:t>
            </w:r>
          </w:p>
        </w:tc>
        <w:tc>
          <w:tcPr>
            <w:tcW w:w="2520" w:type="dxa"/>
            <w:vMerge/>
          </w:tcPr>
          <w:p w14:paraId="00A5668D" w:rsidR="009252F4" w:rsidRPr="009252F4" w:rsidRDefault="009252F4" w:rsidP="009252F4">
            <w:pPr>
              <w:rPr>
                <w:rFonts w:ascii="Times New Roman" w:hAnsi="Times New Roman" w:cs="Times New Roman"/>
                <w:sz w:val="20"/>
                <w:szCs w:val="20"/>
              </w:rPr>
            </w:pPr>
          </w:p>
        </w:tc>
      </w:tr>
      <w:tr w14:paraId="1CFA27D2" w:rsidR="009252F4" w:rsidRPr="009252F4" w:rsidTr="009252F4">
        <w:trPr>
          <w:trHeight w:val="328"/>
        </w:trPr>
        <w:tc>
          <w:tcPr>
            <w:tcW w:w="2088" w:type="dxa"/>
            <w:vMerge/>
            <w:vAlign w:val="center"/>
          </w:tcPr>
          <w:p w14:paraId="423A61C2" w:rsidR="009252F4" w:rsidRPr="009252F4" w:rsidRDefault="009252F4" w:rsidP="009252F4">
            <w:pPr>
              <w:rPr>
                <w:rFonts w:ascii="Times New Roman" w:hAnsi="Times New Roman" w:cs="Times New Roman"/>
                <w:sz w:val="20"/>
                <w:szCs w:val="20"/>
              </w:rPr>
            </w:pPr>
          </w:p>
        </w:tc>
        <w:tc>
          <w:tcPr>
            <w:tcW w:w="1980" w:type="dxa"/>
          </w:tcPr>
          <w:p w14:paraId="3556B54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Improved capacity for planning, implementation and monitoring of site-specific co-managed strategies for threat reduction through SLM and SFM in PAs.</w:t>
            </w:r>
          </w:p>
        </w:tc>
        <w:tc>
          <w:tcPr>
            <w:tcW w:w="2790" w:type="dxa"/>
          </w:tcPr>
          <w:p w14:paraId="1CF88B62"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Avg score on Capacity Development Scorecard</w:t>
            </w:r>
            <w:r w:rsidRPr="009252F4">
              <w:rPr>
                <w:rFonts w:ascii="Times New Roman" w:hAnsi="Times New Roman" w:cs="Times New Roman"/>
                <w:sz w:val="20"/>
                <w:szCs w:val="20"/>
                <w:vertAlign w:val="superscript"/>
              </w:rPr>
              <w:footnoteReference w:id="22"/>
            </w:r>
            <w:r w:rsidRPr="009252F4">
              <w:rPr>
                <w:rFonts w:ascii="Times New Roman" w:hAnsi="Times New Roman" w:cs="Times New Roman"/>
                <w:sz w:val="20"/>
                <w:szCs w:val="20"/>
              </w:rPr>
              <w:t>:</w:t>
            </w:r>
          </w:p>
          <w:p w14:paraId="61248F7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 2:</w:t>
            </w:r>
            <w:r w:rsidRPr="009252F4">
              <w:rPr>
                <w:rFonts w:ascii="Times New Roman" w:hAnsi="Times New Roman" w:cs="Times New Roman"/>
                <w:sz w:val="20"/>
                <w:szCs w:val="20"/>
              </w:rPr>
              <w:tab/>
            </w:r>
            <w:r w:rsidRPr="009252F4">
              <w:rPr>
                <w:rFonts w:ascii="Times New Roman" w:hAnsi="Times New Roman" w:cs="Times New Roman"/>
                <w:sz w:val="20"/>
                <w:szCs w:val="20"/>
              </w:rPr>
              <w:t>2</w:t>
            </w:r>
          </w:p>
          <w:p w14:paraId="610AE90A"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Q10:      1</w:t>
            </w:r>
          </w:p>
          <w:p w14:paraId="5B8E1E6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Q 11: </w:t>
            </w:r>
            <w:r w:rsidRPr="009252F4">
              <w:rPr>
                <w:rFonts w:ascii="Times New Roman" w:hAnsi="Times New Roman" w:cs="Times New Roman"/>
                <w:sz w:val="20"/>
                <w:szCs w:val="20"/>
              </w:rPr>
              <w:tab/>
            </w:r>
            <w:r w:rsidRPr="009252F4">
              <w:rPr>
                <w:rFonts w:ascii="Times New Roman" w:hAnsi="Times New Roman" w:cs="Times New Roman"/>
                <w:sz w:val="20"/>
                <w:szCs w:val="20"/>
              </w:rPr>
              <w:t>1</w:t>
            </w:r>
          </w:p>
          <w:p w14:paraId="5F380B2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 13:</w:t>
            </w:r>
            <w:r w:rsidRPr="009252F4">
              <w:rPr>
                <w:rFonts w:ascii="Times New Roman" w:hAnsi="Times New Roman" w:cs="Times New Roman"/>
                <w:sz w:val="20"/>
                <w:szCs w:val="20"/>
              </w:rPr>
              <w:tab/>
            </w:r>
            <w:r w:rsidRPr="009252F4">
              <w:rPr>
                <w:rFonts w:ascii="Times New Roman" w:hAnsi="Times New Roman" w:cs="Times New Roman"/>
                <w:sz w:val="20"/>
                <w:szCs w:val="20"/>
              </w:rPr>
              <w:t>2</w:t>
            </w:r>
          </w:p>
          <w:p w14:paraId="43080A3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Q 14: </w:t>
            </w:r>
            <w:r w:rsidRPr="009252F4">
              <w:rPr>
                <w:rFonts w:ascii="Times New Roman" w:hAnsi="Times New Roman" w:cs="Times New Roman"/>
                <w:sz w:val="20"/>
                <w:szCs w:val="20"/>
              </w:rPr>
              <w:tab/>
            </w:r>
            <w:r w:rsidRPr="009252F4">
              <w:rPr>
                <w:rFonts w:ascii="Times New Roman" w:hAnsi="Times New Roman" w:cs="Times New Roman"/>
                <w:sz w:val="20"/>
                <w:szCs w:val="20"/>
              </w:rPr>
              <w:t>0</w:t>
            </w:r>
          </w:p>
          <w:p w14:paraId="1B381AC0" w:rsidR="009252F4" w:rsidRPr="009252F4" w:rsidRDefault="009252F4" w:rsidP="009252F4">
            <w:pPr>
              <w:rPr>
                <w:rFonts w:ascii="Times New Roman" w:hAnsi="Times New Roman" w:cs="Times New Roman"/>
                <w:sz w:val="20"/>
                <w:szCs w:val="20"/>
                <w:u w:val="single"/>
              </w:rPr>
            </w:pPr>
            <w:r w:rsidRPr="009252F4">
              <w:rPr>
                <w:rFonts w:ascii="Times New Roman" w:hAnsi="Times New Roman" w:cs="Times New Roman"/>
                <w:sz w:val="20"/>
                <w:szCs w:val="20"/>
                <w:u w:val="single"/>
              </w:rPr>
              <w:t>Areas to be improved:</w:t>
            </w:r>
          </w:p>
          <w:p w14:paraId="3335637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Co-management is identified as the governance model for SLM, SFM and TPA management, but no formal mechanisms are instituted. </w:t>
            </w:r>
          </w:p>
          <w:p w14:paraId="542F3921" w:rsidR="009252F4" w:rsidRPr="009252F4" w:rsidRDefault="009252F4" w:rsidP="009252F4">
            <w:pPr>
              <w:rPr>
                <w:rFonts w:ascii="Times New Roman" w:hAnsi="Times New Roman" w:cs="Times New Roman"/>
                <w:sz w:val="20"/>
                <w:szCs w:val="20"/>
              </w:rPr>
            </w:pPr>
          </w:p>
          <w:p w14:paraId="58DAA2D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Outdated laws, low public knowledge of the various legislation, and inadequate regulatory framework constrain enforcement.</w:t>
            </w:r>
          </w:p>
          <w:p w14:paraId="6064282F" w:rsidR="009252F4" w:rsidRPr="009252F4" w:rsidRDefault="009252F4" w:rsidP="009252F4">
            <w:pPr>
              <w:rPr>
                <w:rFonts w:ascii="Times New Roman" w:hAnsi="Times New Roman" w:cs="Times New Roman"/>
                <w:sz w:val="20"/>
                <w:szCs w:val="20"/>
              </w:rPr>
            </w:pPr>
          </w:p>
          <w:p w14:paraId="73B1BC9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Environmental information used to support decision-making processes is unavailable, under-utilized, incomplete or out-of-date.  </w:t>
            </w:r>
          </w:p>
          <w:p w14:paraId="3F299C98" w:rsidR="009252F4" w:rsidRPr="009252F4" w:rsidRDefault="009252F4" w:rsidP="009252F4">
            <w:pPr>
              <w:rPr>
                <w:rFonts w:ascii="Times New Roman" w:hAnsi="Times New Roman" w:cs="Times New Roman"/>
                <w:sz w:val="20"/>
                <w:szCs w:val="20"/>
              </w:rPr>
            </w:pPr>
          </w:p>
          <w:p w14:paraId="69140179" w:rsidR="009252F4" w:rsidRPr="009252F4" w:rsidRDefault="009252F4" w:rsidP="009252F4">
            <w:pPr>
              <w:rPr>
                <w:rFonts w:ascii="Times New Roman" w:hAnsi="Times New Roman" w:cs="Times New Roman"/>
                <w:sz w:val="20"/>
                <w:szCs w:val="20"/>
              </w:rPr>
            </w:pPr>
          </w:p>
          <w:p w14:paraId="024267E1"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Capacity and technological needs are, when available, obtained through external financing.  </w:t>
            </w:r>
          </w:p>
          <w:p w14:paraId="16A40EF0" w:rsidR="009252F4" w:rsidRPr="009252F4" w:rsidRDefault="009252F4" w:rsidP="009252F4">
            <w:pPr>
              <w:rPr>
                <w:rFonts w:ascii="Times New Roman" w:hAnsi="Times New Roman" w:cs="Times New Roman"/>
                <w:sz w:val="20"/>
                <w:szCs w:val="20"/>
              </w:rPr>
            </w:pPr>
          </w:p>
          <w:p w14:paraId="7E1F7AA1" w:rsidR="009252F4" w:rsidRPr="009252F4" w:rsidRDefault="009252F4" w:rsidP="009252F4">
            <w:pPr>
              <w:rPr>
                <w:rFonts w:ascii="Times New Roman" w:hAnsi="Times New Roman" w:cs="Times New Roman"/>
                <w:sz w:val="20"/>
                <w:szCs w:val="20"/>
              </w:rPr>
            </w:pPr>
          </w:p>
          <w:p w14:paraId="717ABBCA"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Monitoring is done irregularly, with or without an adequate monitoring framework.   </w:t>
            </w:r>
          </w:p>
        </w:tc>
        <w:tc>
          <w:tcPr>
            <w:tcW w:w="2880" w:type="dxa"/>
          </w:tcPr>
          <w:p w14:paraId="7FBA27C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Avg score on Cap Dev SC increases by at least 1 point:</w:t>
            </w:r>
          </w:p>
          <w:p w14:paraId="25AFDB8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 2:</w:t>
            </w:r>
            <w:r w:rsidRPr="009252F4">
              <w:rPr>
                <w:rFonts w:ascii="Times New Roman" w:hAnsi="Times New Roman" w:cs="Times New Roman"/>
                <w:sz w:val="20"/>
                <w:szCs w:val="20"/>
              </w:rPr>
              <w:tab/>
            </w:r>
            <w:r w:rsidRPr="009252F4">
              <w:rPr>
                <w:rFonts w:ascii="Times New Roman" w:hAnsi="Times New Roman" w:cs="Times New Roman"/>
                <w:sz w:val="20"/>
                <w:szCs w:val="20"/>
              </w:rPr>
              <w:t>3</w:t>
            </w:r>
          </w:p>
          <w:p w14:paraId="724BDF3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Q10:      2</w:t>
            </w:r>
          </w:p>
          <w:p w14:paraId="39DBE675"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Q 11: </w:t>
            </w:r>
            <w:r w:rsidRPr="009252F4">
              <w:rPr>
                <w:rFonts w:ascii="Times New Roman" w:hAnsi="Times New Roman" w:cs="Times New Roman"/>
                <w:sz w:val="20"/>
                <w:szCs w:val="20"/>
              </w:rPr>
              <w:tab/>
            </w:r>
            <w:r w:rsidRPr="009252F4">
              <w:rPr>
                <w:rFonts w:ascii="Times New Roman" w:hAnsi="Times New Roman" w:cs="Times New Roman"/>
                <w:sz w:val="20"/>
                <w:szCs w:val="20"/>
              </w:rPr>
              <w:t>2</w:t>
            </w:r>
          </w:p>
          <w:p w14:paraId="762C4752"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Q 13:</w:t>
            </w:r>
            <w:r w:rsidRPr="009252F4">
              <w:rPr>
                <w:rFonts w:ascii="Times New Roman" w:hAnsi="Times New Roman" w:cs="Times New Roman"/>
                <w:sz w:val="20"/>
                <w:szCs w:val="20"/>
              </w:rPr>
              <w:tab/>
            </w:r>
            <w:r w:rsidRPr="009252F4">
              <w:rPr>
                <w:rFonts w:ascii="Times New Roman" w:hAnsi="Times New Roman" w:cs="Times New Roman"/>
                <w:sz w:val="20"/>
                <w:szCs w:val="20"/>
              </w:rPr>
              <w:t>3</w:t>
            </w:r>
          </w:p>
          <w:p w14:paraId="56E5E18F"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Q 14: </w:t>
            </w:r>
            <w:r w:rsidRPr="009252F4">
              <w:rPr>
                <w:rFonts w:ascii="Times New Roman" w:hAnsi="Times New Roman" w:cs="Times New Roman"/>
                <w:sz w:val="20"/>
                <w:szCs w:val="20"/>
              </w:rPr>
              <w:tab/>
            </w:r>
            <w:r w:rsidRPr="009252F4">
              <w:rPr>
                <w:rFonts w:ascii="Times New Roman" w:hAnsi="Times New Roman" w:cs="Times New Roman"/>
                <w:sz w:val="20"/>
                <w:szCs w:val="20"/>
              </w:rPr>
              <w:t>1</w:t>
            </w:r>
          </w:p>
          <w:p w14:paraId="4921DEAF" w:rsidR="009252F4" w:rsidRPr="009252F4" w:rsidRDefault="009252F4" w:rsidP="009252F4">
            <w:pPr>
              <w:rPr>
                <w:rFonts w:ascii="Times New Roman" w:hAnsi="Times New Roman" w:cs="Times New Roman"/>
                <w:sz w:val="20"/>
                <w:szCs w:val="20"/>
                <w:u w:val="single"/>
              </w:rPr>
            </w:pPr>
            <w:r w:rsidRPr="009252F4">
              <w:rPr>
                <w:rFonts w:ascii="Times New Roman" w:hAnsi="Times New Roman" w:cs="Times New Roman"/>
                <w:sz w:val="20"/>
                <w:szCs w:val="20"/>
                <w:u w:val="single"/>
              </w:rPr>
              <w:t xml:space="preserve">Specific improvements:  </w:t>
            </w:r>
          </w:p>
          <w:p w14:paraId="1A2E04B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Develop and implement co-management mechanisms for SFM, SLM and TPA management (Outcome 1).</w:t>
            </w:r>
          </w:p>
          <w:p w14:paraId="5A6B9B5F" w:rsidR="009252F4" w:rsidRPr="009252F4" w:rsidRDefault="009252F4" w:rsidP="009252F4">
            <w:pPr>
              <w:rPr>
                <w:rFonts w:ascii="Times New Roman" w:hAnsi="Times New Roman" w:cs="Times New Roman"/>
                <w:sz w:val="20"/>
                <w:szCs w:val="20"/>
              </w:rPr>
            </w:pPr>
          </w:p>
          <w:p w14:paraId="6FEB15D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Review and update existing policies and legislation;</w:t>
            </w:r>
            <w:r w:rsidRPr="009252F4">
              <w:t xml:space="preserve"> </w:t>
            </w:r>
            <w:r w:rsidRPr="009252F4">
              <w:rPr>
                <w:rFonts w:ascii="Times New Roman" w:hAnsi="Times New Roman" w:cs="Times New Roman"/>
                <w:sz w:val="20"/>
                <w:szCs w:val="20"/>
              </w:rPr>
              <w:t>implement site specific mgt plans for PAs; endorse an interagency collaboration mechanism for SLM. (Outcomes 1 &amp; 2)</w:t>
            </w:r>
          </w:p>
          <w:p w14:paraId="2E5D3571" w:rsidR="009252F4" w:rsidRPr="009252F4" w:rsidRDefault="009252F4" w:rsidP="009252F4">
            <w:pPr>
              <w:rPr>
                <w:rFonts w:ascii="Times New Roman" w:hAnsi="Times New Roman" w:cs="Times New Roman"/>
                <w:sz w:val="20"/>
                <w:szCs w:val="20"/>
              </w:rPr>
            </w:pPr>
          </w:p>
          <w:p w14:paraId="52507737"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Develop and implement a protocol that facilitates information updating, access and sharing for decision-making (Outcomes 1 &amp; 2).</w:t>
            </w:r>
          </w:p>
          <w:p w14:paraId="7723FB6F" w:rsidR="009252F4" w:rsidRPr="009252F4" w:rsidRDefault="009252F4" w:rsidP="009252F4">
            <w:pPr>
              <w:rPr>
                <w:rFonts w:ascii="Times New Roman" w:hAnsi="Times New Roman" w:cs="Times New Roman"/>
                <w:sz w:val="20"/>
                <w:szCs w:val="20"/>
              </w:rPr>
            </w:pPr>
          </w:p>
          <w:p w14:paraId="66AFFAD8"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Develop a capacity development strategy to augment technical skills within the resident organizations per the priorities of the NAP.  </w:t>
            </w:r>
          </w:p>
          <w:p w14:paraId="35366F2D" w:rsidR="009252F4" w:rsidRPr="009252F4" w:rsidRDefault="009252F4" w:rsidP="009252F4">
            <w:pPr>
              <w:rPr>
                <w:rFonts w:ascii="Times New Roman" w:hAnsi="Times New Roman" w:cs="Times New Roman"/>
                <w:sz w:val="20"/>
                <w:szCs w:val="20"/>
              </w:rPr>
            </w:pPr>
          </w:p>
          <w:p w14:paraId="5BD483E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National monitoring system with proper capacity building (Outcome 1).</w:t>
            </w:r>
          </w:p>
        </w:tc>
        <w:tc>
          <w:tcPr>
            <w:tcW w:w="2250" w:type="dxa"/>
          </w:tcPr>
          <w:p w14:paraId="18D935B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GEF Capacity Development Scorecard applied at PPG, MTR and TE</w:t>
            </w:r>
          </w:p>
        </w:tc>
        <w:tc>
          <w:tcPr>
            <w:tcW w:w="2520" w:type="dxa"/>
            <w:vMerge/>
          </w:tcPr>
          <w:p w14:paraId="2F861A9B" w:rsidR="009252F4" w:rsidRPr="009252F4" w:rsidRDefault="009252F4" w:rsidP="009252F4">
            <w:pPr>
              <w:rPr>
                <w:rFonts w:ascii="Times New Roman" w:hAnsi="Times New Roman" w:cs="Times New Roman"/>
                <w:sz w:val="20"/>
                <w:szCs w:val="20"/>
              </w:rPr>
            </w:pPr>
          </w:p>
        </w:tc>
      </w:tr>
    </w:tbl>
    <w:p w14:paraId="290B550A" w:rsidR="009252F4" w:rsidRPr="009252F4" w:rsidRDefault="009252F4" w:rsidP="009252F4">
      <w:pPr>
        <w:spacing w:line="240" w:lineRule="auto"/>
        <w:rPr>
          <w:rFonts w:ascii="Times New Roman" w:eastAsiaTheme="minorHAnsi" w:hAnsi="Times New Roman" w:cs="Times New Roman"/>
          <w:color w:val="7030A0"/>
          <w:sz w:val="20"/>
          <w:szCs w:val="20"/>
        </w:rPr>
      </w:pPr>
    </w:p>
    <w:tbl>
      <w:tblPr>
        <w:tblStyle w:val="TableGrid5"/>
        <w:tblW w:w="14490" w:type="dxa"/>
        <w:tblInd w:w="-702" w:type="dxa"/>
        <w:tblLook w:val="04A0" w:firstRow="1" w:lastRow="0" w:firstColumn="1" w:lastColumn="0" w:noHBand="0" w:noVBand="1"/>
      </w:tblPr>
      <w:tblGrid>
        <w:gridCol w:w="2070"/>
        <w:gridCol w:w="1980"/>
        <w:gridCol w:w="2790"/>
        <w:gridCol w:w="2880"/>
        <w:gridCol w:w="2250"/>
        <w:gridCol w:w="2520"/>
      </w:tblGrid>
      <w:tr w14:paraId="0F795419" w:rsidR="009252F4" w:rsidRPr="009252F4" w:rsidTr="009252F4">
        <w:trPr>
          <w:trHeight w:val="620"/>
          <w:tblHeader/>
        </w:trPr>
        <w:tc>
          <w:tcPr>
            <w:tcW w:w="2070" w:type="dxa"/>
            <w:shd w:val="clear" w:color="auto" w:fill="F2F2F2" w:themeFill="background1" w:themeFillShade="F2"/>
          </w:tcPr>
          <w:p w14:paraId="54AC4BFC"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 xml:space="preserve">Outcome #1 </w:t>
            </w:r>
          </w:p>
        </w:tc>
        <w:tc>
          <w:tcPr>
            <w:tcW w:w="1980" w:type="dxa"/>
            <w:shd w:val="clear" w:color="auto" w:fill="F2F2F2" w:themeFill="background1" w:themeFillShade="F2"/>
          </w:tcPr>
          <w:p w14:paraId="7E231B6A"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Indicator</w:t>
            </w:r>
          </w:p>
        </w:tc>
        <w:tc>
          <w:tcPr>
            <w:tcW w:w="2790" w:type="dxa"/>
            <w:shd w:val="clear" w:color="auto" w:fill="F2F2F2" w:themeFill="background1" w:themeFillShade="F2"/>
          </w:tcPr>
          <w:p w14:paraId="1AD3F2B9"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 xml:space="preserve">Baseline </w:t>
            </w:r>
          </w:p>
        </w:tc>
        <w:tc>
          <w:tcPr>
            <w:tcW w:w="2880" w:type="dxa"/>
            <w:shd w:val="clear" w:color="auto" w:fill="F2F2F2" w:themeFill="background1" w:themeFillShade="F2"/>
          </w:tcPr>
          <w:p w14:paraId="3251AD1F"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 xml:space="preserve">Target </w:t>
            </w:r>
          </w:p>
        </w:tc>
        <w:tc>
          <w:tcPr>
            <w:tcW w:w="2250" w:type="dxa"/>
            <w:shd w:val="clear" w:color="auto" w:fill="F2F2F2" w:themeFill="background1" w:themeFillShade="F2"/>
          </w:tcPr>
          <w:p w14:paraId="6BED62C5"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Means of Verification</w:t>
            </w:r>
          </w:p>
        </w:tc>
        <w:tc>
          <w:tcPr>
            <w:tcW w:w="2520" w:type="dxa"/>
            <w:shd w:val="clear" w:color="auto" w:fill="F2F2F2" w:themeFill="background1" w:themeFillShade="F2"/>
          </w:tcPr>
          <w:p w14:paraId="6B8835D7"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 xml:space="preserve">Risks and Assumptions </w:t>
            </w:r>
          </w:p>
        </w:tc>
      </w:tr>
      <w:tr w14:paraId="70BDE951" w:rsidR="009252F4" w:rsidRPr="009252F4" w:rsidTr="009252F4">
        <w:trPr>
          <w:trHeight w:val="800"/>
        </w:trPr>
        <w:tc>
          <w:tcPr>
            <w:tcW w:w="2070" w:type="dxa"/>
            <w:vMerge w:val="restart"/>
          </w:tcPr>
          <w:p w14:paraId="255C82D5" w:rsidR="009252F4" w:rsidRPr="009252F4" w:rsidRDefault="009252F4" w:rsidP="009252F4">
            <w:pPr>
              <w:widowControl w:val="0"/>
              <w:numPr>
                <w:ilvl w:val="0"/>
                <w:numId w:val="50"/>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Establishment  and effective management of new and existing Protected Areas</w:t>
            </w:r>
          </w:p>
          <w:p w14:paraId="50C85139"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 </w:t>
            </w:r>
          </w:p>
        </w:tc>
        <w:tc>
          <w:tcPr>
            <w:tcW w:w="1980" w:type="dxa"/>
          </w:tcPr>
          <w:p w14:paraId="3BB17FCE"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Institutional framework for management effectiveness in and around PAs </w:t>
            </w:r>
          </w:p>
        </w:tc>
        <w:tc>
          <w:tcPr>
            <w:tcW w:w="2790" w:type="dxa"/>
          </w:tcPr>
          <w:p w14:paraId="502CABB5"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formal National Parks Advisory Council; Forestry Division administers 8 TPAs under suboptimal conditions; Fisheries Division administers 3 MPAs.</w:t>
            </w:r>
          </w:p>
        </w:tc>
        <w:tc>
          <w:tcPr>
            <w:tcW w:w="2880" w:type="dxa"/>
          </w:tcPr>
          <w:p w14:paraId="5253D6A7"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Formal establishment of a National Parks Advisory Council for TPAs and Management Committee for MPAs administering policy-based PAs, PoA.</w:t>
            </w:r>
          </w:p>
        </w:tc>
        <w:tc>
          <w:tcPr>
            <w:tcW w:w="2250" w:type="dxa"/>
          </w:tcPr>
          <w:p w14:paraId="39701286"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SROs Published in the Government  Gazette so as to enable the TPA and MPA Strategic Management bodies to function.</w:t>
            </w:r>
          </w:p>
        </w:tc>
        <w:tc>
          <w:tcPr>
            <w:tcW w:w="2520" w:type="dxa"/>
            <w:vMerge w:val="restart"/>
          </w:tcPr>
          <w:p w14:paraId="0F2AAAC2"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1D40000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Government of Grenada adopts the Ridge to Reef Project as a key initiative for fulfilling its obligations for conservation and management of its BD so as to meet local and Global objectives.</w:t>
            </w:r>
          </w:p>
          <w:p w14:paraId="1C8A863E" w:rsidR="009252F4" w:rsidRPr="009252F4" w:rsidRDefault="009252F4" w:rsidP="009252F4">
            <w:pPr>
              <w:rPr>
                <w:rFonts w:ascii="Times New Roman" w:hAnsi="Times New Roman" w:cs="Times New Roman"/>
                <w:b/>
                <w:sz w:val="20"/>
                <w:szCs w:val="20"/>
                <w:u w:val="single"/>
              </w:rPr>
            </w:pPr>
          </w:p>
          <w:p w14:paraId="430AD60F"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Risks:</w:t>
            </w:r>
          </w:p>
          <w:p w14:paraId="631CA4E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Contingency-based planning and management persists.</w:t>
            </w:r>
          </w:p>
          <w:p w14:paraId="6AF84823" w:rsidR="009252F4" w:rsidRPr="009252F4" w:rsidRDefault="009252F4" w:rsidP="009252F4">
            <w:pPr>
              <w:rPr>
                <w:rFonts w:ascii="Times New Roman" w:hAnsi="Times New Roman" w:cs="Times New Roman"/>
                <w:sz w:val="20"/>
                <w:szCs w:val="20"/>
              </w:rPr>
            </w:pPr>
          </w:p>
        </w:tc>
      </w:tr>
      <w:tr w14:paraId="0A25077B" w:rsidR="009252F4" w:rsidRPr="009252F4" w:rsidTr="009252F4">
        <w:trPr>
          <w:trHeight w:val="945"/>
        </w:trPr>
        <w:tc>
          <w:tcPr>
            <w:tcW w:w="2070" w:type="dxa"/>
            <w:vMerge/>
          </w:tcPr>
          <w:p w14:paraId="126C3FBC" w:rsidR="009252F4" w:rsidRPr="009252F4" w:rsidRDefault="009252F4" w:rsidP="009252F4">
            <w:pPr>
              <w:rPr>
                <w:rFonts w:ascii="Times New Roman" w:hAnsi="Times New Roman" w:cs="Times New Roman"/>
                <w:b/>
                <w:sz w:val="20"/>
                <w:szCs w:val="20"/>
                <w:u w:val="single"/>
              </w:rPr>
            </w:pPr>
          </w:p>
        </w:tc>
        <w:tc>
          <w:tcPr>
            <w:tcW w:w="1980" w:type="dxa"/>
          </w:tcPr>
          <w:p w14:paraId="450A067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Regulatory and legal framework for management effectiveness in and around PAs</w:t>
            </w:r>
          </w:p>
        </w:tc>
        <w:tc>
          <w:tcPr>
            <w:tcW w:w="2790" w:type="dxa"/>
          </w:tcPr>
          <w:p w14:paraId="689C6EDD"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Forestry policy does not include INRM.</w:t>
            </w:r>
          </w:p>
          <w:p w14:paraId="2B4D04EF" w:rsidR="009252F4" w:rsidRPr="009252F4" w:rsidRDefault="009252F4" w:rsidP="009252F4">
            <w:pPr>
              <w:rPr>
                <w:rFonts w:ascii="Times New Roman" w:hAnsi="Times New Roman" w:cs="Times New Roman"/>
                <w:sz w:val="20"/>
                <w:szCs w:val="20"/>
              </w:rPr>
            </w:pPr>
          </w:p>
          <w:p w14:paraId="04D82E03" w:rsidR="009252F4" w:rsidRPr="009252F4" w:rsidRDefault="009252F4" w:rsidP="009252F4">
            <w:pPr>
              <w:rPr>
                <w:rFonts w:ascii="Times New Roman" w:hAnsi="Times New Roman" w:cs="Times New Roman"/>
                <w:sz w:val="20"/>
                <w:szCs w:val="20"/>
              </w:rPr>
            </w:pPr>
          </w:p>
          <w:p w14:paraId="01DEC1EA" w:rsidR="009252F4" w:rsidRPr="009252F4" w:rsidRDefault="009252F4" w:rsidP="009252F4">
            <w:pPr>
              <w:rPr>
                <w:rFonts w:ascii="Times New Roman" w:hAnsi="Times New Roman" w:cs="Times New Roman"/>
                <w:sz w:val="20"/>
                <w:szCs w:val="20"/>
              </w:rPr>
            </w:pPr>
          </w:p>
          <w:p w14:paraId="61B6A760"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Fisheries division does not use INRM in its administration of MPAs.  </w:t>
            </w:r>
          </w:p>
          <w:p w14:paraId="79B42D56" w:rsidR="009252F4" w:rsidRPr="009252F4" w:rsidRDefault="009252F4" w:rsidP="009252F4">
            <w:pPr>
              <w:rPr>
                <w:rFonts w:ascii="Times New Roman" w:hAnsi="Times New Roman" w:cs="Times New Roman"/>
                <w:sz w:val="20"/>
                <w:szCs w:val="20"/>
              </w:rPr>
            </w:pPr>
          </w:p>
          <w:p w14:paraId="3E7B4D69" w:rsidR="009252F4" w:rsidRPr="009252F4" w:rsidRDefault="009252F4" w:rsidP="009252F4">
            <w:pPr>
              <w:rPr>
                <w:rFonts w:ascii="Times New Roman" w:hAnsi="Times New Roman" w:cs="Times New Roman"/>
                <w:sz w:val="20"/>
                <w:szCs w:val="20"/>
              </w:rPr>
            </w:pPr>
          </w:p>
          <w:p w14:paraId="635518B3"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PA System Business Plan exists</w:t>
            </w:r>
          </w:p>
        </w:tc>
        <w:tc>
          <w:tcPr>
            <w:tcW w:w="2880" w:type="dxa"/>
          </w:tcPr>
          <w:p w14:paraId="503ACBBC"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A finalized and approved </w:t>
            </w:r>
            <w:r w:rsidRPr="009252F4">
              <w:rPr>
                <w:rFonts w:ascii="Times New Roman" w:hAnsi="Times New Roman" w:cs="Times New Roman"/>
                <w:i/>
                <w:sz w:val="20"/>
                <w:szCs w:val="20"/>
              </w:rPr>
              <w:t>Protected Area Forestry and Wildlife Bill</w:t>
            </w:r>
            <w:r w:rsidRPr="009252F4">
              <w:rPr>
                <w:rFonts w:ascii="Times New Roman" w:hAnsi="Times New Roman" w:cs="Times New Roman"/>
                <w:sz w:val="20"/>
                <w:szCs w:val="20"/>
              </w:rPr>
              <w:t xml:space="preserve"> with draft SROs that promote INRM practices and principles.</w:t>
            </w:r>
          </w:p>
          <w:p w14:paraId="52BC4D45"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Fisheries division applying INRM principles and practices using enhanced law and/ or regulations, within 2 years.</w:t>
            </w:r>
          </w:p>
          <w:p w14:paraId="6D98B9E5"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PA System Business Plan developed and under implementation</w:t>
            </w:r>
          </w:p>
        </w:tc>
        <w:tc>
          <w:tcPr>
            <w:tcW w:w="2250" w:type="dxa"/>
          </w:tcPr>
          <w:p w14:paraId="6EA62688"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New parent legislation published in the Government gazette and with associated SROs.</w:t>
            </w:r>
          </w:p>
        </w:tc>
        <w:tc>
          <w:tcPr>
            <w:tcW w:w="2520" w:type="dxa"/>
            <w:vMerge/>
          </w:tcPr>
          <w:p w14:paraId="1CCE6FCE" w:rsidR="009252F4" w:rsidRPr="009252F4" w:rsidRDefault="009252F4" w:rsidP="009252F4">
            <w:pPr>
              <w:widowControl w:val="0"/>
              <w:numPr>
                <w:ilvl w:val="0"/>
                <w:numId w:val="51"/>
              </w:numPr>
              <w:kinsoku w:val="0"/>
              <w:overflowPunct w:val="0"/>
              <w:textAlignment w:val="baseline"/>
              <w:rPr>
                <w:rFonts w:ascii="Times New Roman" w:hAnsi="Times New Roman" w:cs="Times New Roman"/>
                <w:b/>
                <w:sz w:val="20"/>
                <w:szCs w:val="20"/>
              </w:rPr>
            </w:pPr>
          </w:p>
        </w:tc>
      </w:tr>
      <w:tr w14:paraId="01970C5A" w:rsidR="009252F4" w:rsidRPr="009252F4" w:rsidTr="009252F4">
        <w:trPr>
          <w:trHeight w:val="945"/>
        </w:trPr>
        <w:tc>
          <w:tcPr>
            <w:tcW w:w="2070" w:type="dxa"/>
            <w:vMerge/>
          </w:tcPr>
          <w:p w14:paraId="0ADBE8CB" w:rsidR="009252F4" w:rsidRPr="009252F4" w:rsidRDefault="009252F4" w:rsidP="009252F4">
            <w:pPr>
              <w:rPr>
                <w:rFonts w:ascii="Times New Roman" w:hAnsi="Times New Roman" w:cs="Times New Roman"/>
                <w:b/>
                <w:sz w:val="20"/>
                <w:szCs w:val="20"/>
                <w:u w:val="single"/>
              </w:rPr>
            </w:pPr>
          </w:p>
        </w:tc>
        <w:tc>
          <w:tcPr>
            <w:tcW w:w="1980" w:type="dxa"/>
          </w:tcPr>
          <w:p w14:paraId="3FFA321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Expansion of protected areas system</w:t>
            </w:r>
          </w:p>
          <w:p w14:paraId="4DEE83AF" w:rsidR="009252F4" w:rsidRPr="009252F4" w:rsidRDefault="009252F4" w:rsidP="009252F4">
            <w:pPr>
              <w:rPr>
                <w:rFonts w:ascii="Times New Roman" w:hAnsi="Times New Roman" w:cs="Times New Roman"/>
                <w:sz w:val="20"/>
                <w:szCs w:val="20"/>
              </w:rPr>
            </w:pPr>
          </w:p>
        </w:tc>
        <w:tc>
          <w:tcPr>
            <w:tcW w:w="2790" w:type="dxa"/>
          </w:tcPr>
          <w:p w14:paraId="0AA4117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3,711 ha of bio-diverse landscapes/seascapes formally recognized and facing multiple threats:</w:t>
            </w:r>
          </w:p>
          <w:p w14:paraId="6627F83D"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8 TPAs managed under suboptimal conditions and 5 mini TPAs with no management mechanism.</w:t>
            </w:r>
          </w:p>
          <w:p w14:paraId="23C55BDA" w:rsidR="009252F4" w:rsidRPr="009252F4" w:rsidRDefault="009252F4" w:rsidP="009252F4">
            <w:pPr>
              <w:widowControl w:val="0"/>
              <w:numPr>
                <w:ilvl w:val="1"/>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TPAs cover 1,931 ha.</w:t>
            </w:r>
          </w:p>
          <w:p w14:paraId="4965B37C" w:rsidR="009252F4" w:rsidRPr="009252F4" w:rsidRDefault="009252F4" w:rsidP="009252F4">
            <w:pPr>
              <w:ind w:left="360"/>
              <w:rPr>
                <w:rFonts w:ascii="Times New Roman" w:hAnsi="Times New Roman" w:cs="Times New Roman"/>
                <w:sz w:val="20"/>
                <w:szCs w:val="20"/>
              </w:rPr>
            </w:pPr>
          </w:p>
          <w:p w14:paraId="1EBA1B91" w:rsidR="009252F4" w:rsidRPr="009252F4" w:rsidRDefault="009252F4" w:rsidP="009252F4">
            <w:pPr>
              <w:ind w:left="360"/>
              <w:rPr>
                <w:rFonts w:ascii="Times New Roman" w:hAnsi="Times New Roman" w:cs="Times New Roman"/>
                <w:sz w:val="20"/>
                <w:szCs w:val="20"/>
              </w:rPr>
            </w:pPr>
          </w:p>
          <w:p w14:paraId="1FBE6A1B"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3 MPAs management suboptimal conditions </w:t>
            </w:r>
          </w:p>
          <w:p w14:paraId="5C095EC9" w:rsidR="009252F4" w:rsidRPr="009252F4" w:rsidRDefault="009252F4" w:rsidP="009252F4">
            <w:pPr>
              <w:widowControl w:val="0"/>
              <w:numPr>
                <w:ilvl w:val="1"/>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MPAs cover 1,780 ha.</w:t>
            </w:r>
          </w:p>
        </w:tc>
        <w:tc>
          <w:tcPr>
            <w:tcW w:w="2880" w:type="dxa"/>
          </w:tcPr>
          <w:p w14:paraId="18E064B1"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16, 111 ha of bio-diverse landscapes/seascapes formally recognized and managed effectively:</w:t>
            </w:r>
          </w:p>
          <w:p w14:paraId="67F950AD"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9 TPAs + 4 mini-TPAs effectively managed with legal demarcation, management plans, business plans, and adequate infrastructure in place.</w:t>
            </w:r>
          </w:p>
          <w:p w14:paraId="496FFACB" w:rsidR="009252F4" w:rsidRPr="009252F4" w:rsidRDefault="009252F4" w:rsidP="009252F4">
            <w:pPr>
              <w:widowControl w:val="0"/>
              <w:numPr>
                <w:ilvl w:val="1"/>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TPAs cover 2,931 ha.</w:t>
            </w:r>
          </w:p>
          <w:p w14:paraId="18ABE8E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7 MPAs managed under optimal conditions within 5 years. </w:t>
            </w:r>
          </w:p>
          <w:p w14:paraId="18C9ADD5" w:rsidR="009252F4" w:rsidRPr="009252F4" w:rsidRDefault="009252F4" w:rsidP="009252F4">
            <w:pPr>
              <w:widowControl w:val="0"/>
              <w:numPr>
                <w:ilvl w:val="1"/>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MPAs cover 13,180 ha.</w:t>
            </w:r>
          </w:p>
        </w:tc>
        <w:tc>
          <w:tcPr>
            <w:tcW w:w="2250" w:type="dxa"/>
          </w:tcPr>
          <w:p w14:paraId="35BC90D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Project records:</w:t>
            </w:r>
          </w:p>
          <w:p w14:paraId="448DD277"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Technical reports</w:t>
            </w:r>
          </w:p>
          <w:p w14:paraId="1EE64D8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GIS maps </w:t>
            </w:r>
          </w:p>
          <w:p w14:paraId="7D0D145C"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Project evaluation reports</w:t>
            </w:r>
          </w:p>
          <w:p w14:paraId="0FA24586"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Planning and policy documents </w:t>
            </w:r>
          </w:p>
          <w:p w14:paraId="1586AC8D"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Tracking Tools</w:t>
            </w:r>
          </w:p>
          <w:p w14:paraId="6F86EDC9"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Field assessment </w:t>
            </w:r>
          </w:p>
        </w:tc>
        <w:tc>
          <w:tcPr>
            <w:tcW w:w="2520" w:type="dxa"/>
          </w:tcPr>
          <w:p w14:paraId="2D797F1C"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6A0EA0DB"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sz w:val="20"/>
                <w:szCs w:val="20"/>
              </w:rPr>
              <w:t>Increased support from GoG</w:t>
            </w:r>
            <w:r w:rsidRPr="009252F4">
              <w:rPr>
                <w:rFonts w:ascii="Times New Roman" w:hAnsi="Times New Roman" w:cs="Times New Roman"/>
                <w:b/>
                <w:sz w:val="20"/>
                <w:szCs w:val="20"/>
              </w:rPr>
              <w:t xml:space="preserve">. </w:t>
            </w:r>
          </w:p>
          <w:p w14:paraId="09D18E77" w:rsidR="009252F4" w:rsidRPr="009252F4" w:rsidRDefault="009252F4" w:rsidP="009252F4">
            <w:pPr>
              <w:rPr>
                <w:rFonts w:ascii="Times New Roman" w:hAnsi="Times New Roman" w:cs="Times New Roman"/>
                <w:b/>
                <w:sz w:val="20"/>
                <w:szCs w:val="20"/>
              </w:rPr>
            </w:pPr>
          </w:p>
          <w:p w14:paraId="7709BBFA"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Effective management measures adopted.</w:t>
            </w:r>
          </w:p>
          <w:p w14:paraId="66E1356B"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Risks</w:t>
            </w:r>
          </w:p>
          <w:p w14:paraId="6D733885"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sz w:val="20"/>
                <w:szCs w:val="20"/>
              </w:rPr>
              <w:t>Unpredicted natural hazards</w:t>
            </w:r>
            <w:r w:rsidRPr="009252F4">
              <w:rPr>
                <w:rFonts w:ascii="Times New Roman" w:hAnsi="Times New Roman" w:cs="Times New Roman"/>
                <w:b/>
                <w:sz w:val="20"/>
                <w:szCs w:val="20"/>
              </w:rPr>
              <w:t xml:space="preserve"> </w:t>
            </w:r>
          </w:p>
          <w:p w14:paraId="6B76B411" w:rsidR="009252F4" w:rsidRPr="009252F4" w:rsidRDefault="009252F4" w:rsidP="009252F4">
            <w:pPr>
              <w:rPr>
                <w:rFonts w:ascii="Times New Roman" w:hAnsi="Times New Roman" w:cs="Times New Roman"/>
                <w:b/>
                <w:sz w:val="20"/>
                <w:szCs w:val="20"/>
              </w:rPr>
            </w:pPr>
          </w:p>
        </w:tc>
      </w:tr>
      <w:tr w14:paraId="7D705E6F" w:rsidR="009252F4" w:rsidRPr="009252F4" w:rsidTr="009252F4">
        <w:trPr>
          <w:trHeight w:val="611"/>
        </w:trPr>
        <w:tc>
          <w:tcPr>
            <w:tcW w:w="2070" w:type="dxa"/>
            <w:vMerge/>
          </w:tcPr>
          <w:p w14:paraId="64BB1CC1" w:rsidR="009252F4" w:rsidRPr="009252F4" w:rsidRDefault="009252F4" w:rsidP="009252F4">
            <w:pPr>
              <w:rPr>
                <w:rFonts w:ascii="Times New Roman" w:hAnsi="Times New Roman" w:cs="Times New Roman"/>
                <w:b/>
                <w:sz w:val="20"/>
                <w:szCs w:val="20"/>
                <w:u w:val="single"/>
              </w:rPr>
            </w:pPr>
          </w:p>
        </w:tc>
        <w:tc>
          <w:tcPr>
            <w:tcW w:w="1980" w:type="dxa"/>
          </w:tcPr>
          <w:p w14:paraId="4AC9EBF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Measurable Threat Reduction:</w:t>
            </w:r>
          </w:p>
          <w:p w14:paraId="725C3AF3" w:rsidR="009252F4" w:rsidRPr="009252F4" w:rsidRDefault="009252F4" w:rsidP="009252F4">
            <w:pPr>
              <w:widowControl w:val="0"/>
              <w:numPr>
                <w:ilvl w:val="0"/>
                <w:numId w:val="72"/>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Forest cover</w:t>
            </w:r>
          </w:p>
          <w:p w14:paraId="1BA8F3B3" w:rsidR="009252F4" w:rsidRPr="009252F4" w:rsidRDefault="009252F4" w:rsidP="009252F4">
            <w:pPr>
              <w:ind w:left="360"/>
              <w:contextualSpacing/>
              <w:rPr>
                <w:rFonts w:ascii="Times New Roman" w:hAnsi="Times New Roman" w:cs="Times New Roman"/>
                <w:sz w:val="20"/>
                <w:szCs w:val="20"/>
              </w:rPr>
            </w:pPr>
          </w:p>
          <w:p w14:paraId="11AE9D73" w:rsidR="009252F4" w:rsidRPr="009252F4" w:rsidRDefault="009252F4" w:rsidP="009252F4">
            <w:pPr>
              <w:ind w:left="360"/>
              <w:contextualSpacing/>
              <w:rPr>
                <w:rFonts w:ascii="Times New Roman" w:hAnsi="Times New Roman" w:cs="Times New Roman"/>
                <w:sz w:val="20"/>
                <w:szCs w:val="20"/>
              </w:rPr>
            </w:pPr>
          </w:p>
          <w:p w14:paraId="0310A3F3" w:rsidR="009252F4" w:rsidRPr="009252F4" w:rsidRDefault="009252F4" w:rsidP="009252F4">
            <w:pPr>
              <w:widowControl w:val="0"/>
              <w:numPr>
                <w:ilvl w:val="0"/>
                <w:numId w:val="72"/>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Direct Carbon benefits </w:t>
            </w:r>
          </w:p>
          <w:p w14:paraId="152E213D" w:rsidR="009252F4" w:rsidRPr="009252F4" w:rsidRDefault="009252F4" w:rsidP="009252F4">
            <w:pPr>
              <w:widowControl w:val="0"/>
              <w:numPr>
                <w:ilvl w:val="0"/>
                <w:numId w:val="72"/>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Indirect</w:t>
            </w:r>
            <w:r w:rsidRPr="009252F4">
              <w:rPr>
                <w:rFonts w:ascii="Times New Roman" w:hAnsi="Times New Roman" w:cs="Times New Roman"/>
                <w:sz w:val="24"/>
                <w:szCs w:val="24"/>
              </w:rPr>
              <w:t xml:space="preserve"> </w:t>
            </w:r>
            <w:r w:rsidRPr="009252F4">
              <w:rPr>
                <w:rFonts w:ascii="Times New Roman" w:hAnsi="Times New Roman" w:cs="Times New Roman"/>
                <w:sz w:val="20"/>
                <w:szCs w:val="20"/>
              </w:rPr>
              <w:t>Carbon benefits</w:t>
            </w:r>
          </w:p>
          <w:p w14:paraId="605436A8" w:rsidR="009252F4" w:rsidRPr="009252F4" w:rsidRDefault="009252F4" w:rsidP="009252F4">
            <w:pPr>
              <w:widowControl w:val="0"/>
              <w:numPr>
                <w:ilvl w:val="0"/>
                <w:numId w:val="72"/>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Mangrove, seagrass bed and coral reef areas</w:t>
            </w:r>
          </w:p>
        </w:tc>
        <w:tc>
          <w:tcPr>
            <w:tcW w:w="2790" w:type="dxa"/>
          </w:tcPr>
          <w:p w14:paraId="23FD0F3D" w:rsidR="009252F4" w:rsidRPr="009252F4" w:rsidRDefault="009252F4" w:rsidP="009252F4">
            <w:pPr>
              <w:ind w:left="360"/>
              <w:rPr>
                <w:rFonts w:ascii="Times New Roman" w:hAnsi="Times New Roman" w:cs="Times New Roman"/>
                <w:sz w:val="20"/>
                <w:szCs w:val="20"/>
              </w:rPr>
            </w:pPr>
          </w:p>
          <w:p w14:paraId="6EA6E3E1" w:rsidR="009252F4" w:rsidRPr="009252F4" w:rsidRDefault="009252F4" w:rsidP="009252F4">
            <w:pPr>
              <w:ind w:left="360"/>
              <w:rPr>
                <w:rFonts w:ascii="Times New Roman" w:hAnsi="Times New Roman" w:cs="Times New Roman"/>
                <w:sz w:val="20"/>
                <w:szCs w:val="20"/>
              </w:rPr>
            </w:pPr>
          </w:p>
          <w:p w14:paraId="7BA452F9"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Continuous deforestation threatens 10,012 hectares</w:t>
            </w:r>
          </w:p>
          <w:p w14:paraId="49E2534C" w:rsidR="009252F4" w:rsidRPr="009252F4" w:rsidRDefault="009252F4" w:rsidP="009252F4">
            <w:pPr>
              <w:ind w:left="360"/>
              <w:rPr>
                <w:rFonts w:ascii="Times New Roman" w:hAnsi="Times New Roman" w:cs="Times New Roman"/>
                <w:sz w:val="20"/>
                <w:szCs w:val="20"/>
              </w:rPr>
            </w:pPr>
          </w:p>
          <w:p w14:paraId="0B8E9AD4"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81,652.5 tC (Direct) </w:t>
            </w:r>
          </w:p>
          <w:p w14:paraId="28CECF39" w:rsidR="009252F4" w:rsidRPr="009252F4" w:rsidRDefault="009252F4" w:rsidP="009252F4">
            <w:pPr>
              <w:ind w:left="360"/>
              <w:rPr>
                <w:rFonts w:ascii="Times New Roman" w:hAnsi="Times New Roman" w:cs="Times New Roman"/>
                <w:sz w:val="20"/>
                <w:szCs w:val="20"/>
              </w:rPr>
            </w:pPr>
          </w:p>
          <w:p w14:paraId="68FE5D38"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322,158.3 tC (Indirect)</w:t>
            </w:r>
          </w:p>
          <w:p w14:paraId="79BD56B2" w:rsidR="009252F4" w:rsidRPr="009252F4" w:rsidRDefault="009252F4" w:rsidP="009252F4">
            <w:pPr>
              <w:rPr>
                <w:rFonts w:ascii="Times New Roman" w:hAnsi="Times New Roman" w:cs="Times New Roman"/>
                <w:sz w:val="20"/>
                <w:szCs w:val="20"/>
              </w:rPr>
            </w:pPr>
          </w:p>
          <w:p w14:paraId="3044328B"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Continuous destruction of 231 Ha of mangrove, 1301 Ha of seagrass and 5095 Ha of reef areas</w:t>
            </w:r>
          </w:p>
        </w:tc>
        <w:tc>
          <w:tcPr>
            <w:tcW w:w="2880" w:type="dxa"/>
          </w:tcPr>
          <w:p w14:paraId="25CF647A" w:rsidR="009252F4" w:rsidRPr="009252F4" w:rsidRDefault="009252F4" w:rsidP="009252F4">
            <w:pPr>
              <w:ind w:left="360"/>
              <w:contextualSpacing/>
              <w:rPr>
                <w:rFonts w:ascii="Times New Roman" w:hAnsi="Times New Roman" w:cs="Times New Roman"/>
                <w:sz w:val="20"/>
                <w:szCs w:val="20"/>
              </w:rPr>
            </w:pPr>
          </w:p>
          <w:p w14:paraId="4A8B6ADE" w:rsidR="009252F4" w:rsidRPr="009252F4" w:rsidRDefault="009252F4" w:rsidP="009252F4">
            <w:pPr>
              <w:ind w:left="360"/>
              <w:contextualSpacing/>
              <w:rPr>
                <w:rFonts w:ascii="Times New Roman" w:hAnsi="Times New Roman" w:cs="Times New Roman"/>
                <w:sz w:val="20"/>
                <w:szCs w:val="20"/>
              </w:rPr>
            </w:pPr>
          </w:p>
          <w:p w14:paraId="1A7E3AEC"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10,012 hectares of forested area maintained or increased</w:t>
            </w:r>
          </w:p>
          <w:p w14:paraId="0E2E7ACE"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81,652.5 tC Direct maintained or increased  </w:t>
            </w:r>
          </w:p>
          <w:p w14:paraId="4EB26C56"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322,158.3 tC Indirect maintained or increased</w:t>
            </w:r>
          </w:p>
          <w:p w14:paraId="7199122B" w:rsidR="009252F4" w:rsidRPr="009252F4" w:rsidRDefault="009252F4" w:rsidP="009252F4">
            <w:pPr>
              <w:ind w:left="360"/>
              <w:rPr>
                <w:rFonts w:ascii="Times New Roman" w:hAnsi="Times New Roman" w:cs="Times New Roman"/>
                <w:sz w:val="20"/>
                <w:szCs w:val="20"/>
              </w:rPr>
            </w:pPr>
          </w:p>
          <w:p w14:paraId="0D2C2A48"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231 Ha of mangrove, 1301 Ha of seagrass and 5095 Ha of reef areas maintained or increased</w:t>
            </w:r>
          </w:p>
        </w:tc>
        <w:tc>
          <w:tcPr>
            <w:tcW w:w="2250" w:type="dxa"/>
          </w:tcPr>
          <w:p w14:paraId="6C105FCC" w:rsidR="009252F4" w:rsidRPr="009252F4" w:rsidRDefault="009252F4" w:rsidP="009252F4">
            <w:pPr>
              <w:ind w:left="360"/>
              <w:contextualSpacing/>
              <w:rPr>
                <w:rFonts w:ascii="Times New Roman" w:hAnsi="Times New Roman" w:cs="Times New Roman"/>
                <w:sz w:val="20"/>
                <w:szCs w:val="20"/>
              </w:rPr>
            </w:pPr>
          </w:p>
          <w:p w14:paraId="1B54FB01"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Tracking Tools</w:t>
            </w:r>
            <w:r w:rsidRPr="009252F4">
              <w:t xml:space="preserve"> </w:t>
            </w:r>
            <w:r w:rsidRPr="009252F4">
              <w:rPr>
                <w:rFonts w:ascii="Times New Roman" w:hAnsi="Times New Roman" w:cs="Times New Roman"/>
                <w:sz w:val="20"/>
                <w:szCs w:val="20"/>
              </w:rPr>
              <w:t>applied at PPG, MTR, and TE</w:t>
            </w:r>
          </w:p>
          <w:p w14:paraId="1280B300"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Technical reports</w:t>
            </w:r>
          </w:p>
          <w:p w14:paraId="63DFE2D3"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GIS maps</w:t>
            </w:r>
          </w:p>
          <w:p w14:paraId="00D28304"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Satellite imagery</w:t>
            </w:r>
          </w:p>
          <w:p w14:paraId="6F1E3C42"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Field assessments</w:t>
            </w:r>
          </w:p>
        </w:tc>
        <w:tc>
          <w:tcPr>
            <w:tcW w:w="2520" w:type="dxa"/>
            <w:vMerge w:val="restart"/>
          </w:tcPr>
          <w:p w14:paraId="3CE4266E"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Risks</w:t>
            </w:r>
          </w:p>
          <w:p w14:paraId="5BF27AF6"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Unpredicted natural hazards</w:t>
            </w:r>
          </w:p>
          <w:p w14:paraId="3343677F" w:rsidR="009252F4" w:rsidRPr="009252F4" w:rsidRDefault="009252F4" w:rsidP="009252F4">
            <w:pPr>
              <w:rPr>
                <w:rFonts w:ascii="Times New Roman" w:hAnsi="Times New Roman" w:cs="Times New Roman"/>
                <w:b/>
                <w:sz w:val="20"/>
                <w:szCs w:val="20"/>
                <w:u w:val="single"/>
              </w:rPr>
            </w:pPr>
          </w:p>
          <w:p w14:paraId="224E0BAB"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774E4207"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Consensus and interest among local stakeholders.</w:t>
            </w:r>
          </w:p>
          <w:p w14:paraId="4E1678B3" w:rsidR="009252F4" w:rsidRPr="009252F4" w:rsidRDefault="009252F4" w:rsidP="009252F4">
            <w:pPr>
              <w:rPr>
                <w:rFonts w:ascii="Times New Roman" w:hAnsi="Times New Roman" w:cs="Times New Roman"/>
                <w:b/>
                <w:sz w:val="20"/>
                <w:szCs w:val="20"/>
                <w:u w:val="single"/>
              </w:rPr>
            </w:pPr>
          </w:p>
          <w:p w14:paraId="759D15B9"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Collaboration with Academia and Centres of excellence in data procurement and application of SLM/SFM practices</w:t>
            </w:r>
          </w:p>
        </w:tc>
      </w:tr>
      <w:tr w14:paraId="2DC70718" w:rsidR="009252F4" w:rsidRPr="009252F4" w:rsidTr="009252F4">
        <w:trPr>
          <w:trHeight w:val="3041"/>
        </w:trPr>
        <w:tc>
          <w:tcPr>
            <w:tcW w:w="2070" w:type="dxa"/>
            <w:vMerge/>
          </w:tcPr>
          <w:p w14:paraId="06FD4B7C" w:rsidR="009252F4" w:rsidRPr="009252F4" w:rsidRDefault="009252F4" w:rsidP="009252F4">
            <w:pPr>
              <w:rPr>
                <w:rFonts w:ascii="Times New Roman" w:hAnsi="Times New Roman" w:cs="Times New Roman"/>
                <w:b/>
                <w:sz w:val="20"/>
                <w:szCs w:val="20"/>
                <w:u w:val="single"/>
              </w:rPr>
            </w:pPr>
          </w:p>
        </w:tc>
        <w:tc>
          <w:tcPr>
            <w:tcW w:w="1980" w:type="dxa"/>
          </w:tcPr>
          <w:p w14:paraId="15B909E2"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Management of expanded PA network institutionalized</w:t>
            </w:r>
          </w:p>
        </w:tc>
        <w:tc>
          <w:tcPr>
            <w:tcW w:w="2790" w:type="dxa"/>
          </w:tcPr>
          <w:p w14:paraId="208E6F93"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coral Reef resilience program (protocol) in place.</w:t>
            </w:r>
          </w:p>
          <w:p w14:paraId="64399BCE"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systematic SFM program in place</w:t>
            </w:r>
          </w:p>
          <w:p w14:paraId="7AE93E51" w:rsidR="009252F4" w:rsidRPr="009252F4" w:rsidRDefault="009252F4" w:rsidP="009252F4">
            <w:pPr>
              <w:ind w:left="360"/>
              <w:rPr>
                <w:rFonts w:ascii="Times New Roman" w:hAnsi="Times New Roman" w:cs="Times New Roman"/>
                <w:sz w:val="20"/>
                <w:szCs w:val="20"/>
              </w:rPr>
            </w:pPr>
          </w:p>
          <w:p w14:paraId="0E66307B"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staff trained in planning accounting, bio principal monitoring, enforcement, fire management and co-management</w:t>
            </w:r>
          </w:p>
        </w:tc>
        <w:tc>
          <w:tcPr>
            <w:tcW w:w="2880" w:type="dxa"/>
          </w:tcPr>
          <w:p w14:paraId="13FDF28C"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Coral reef resilience program (protocol) in place within 5 years. </w:t>
            </w:r>
          </w:p>
          <w:p w14:paraId="4BA45940"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SFM program adopted and administered in all PAs within 5 yrs.</w:t>
            </w:r>
          </w:p>
          <w:p w14:paraId="63F852F5"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13 PA Staff trained</w:t>
            </w:r>
          </w:p>
        </w:tc>
        <w:tc>
          <w:tcPr>
            <w:tcW w:w="2250" w:type="dxa"/>
          </w:tcPr>
          <w:p w14:paraId="04AAAFE3"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MMER protocol designed adopted and administered </w:t>
            </w:r>
          </w:p>
          <w:p w14:paraId="011043A3"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CCM measures adopted and recorded</w:t>
            </w:r>
          </w:p>
          <w:p w14:paraId="101437C4"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Records of staff training </w:t>
            </w:r>
          </w:p>
          <w:p w14:paraId="46C5896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Training Docs.</w:t>
            </w:r>
          </w:p>
          <w:p w14:paraId="4111D0F1"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Capacity development Scorecard</w:t>
            </w:r>
          </w:p>
        </w:tc>
        <w:tc>
          <w:tcPr>
            <w:tcW w:w="2520" w:type="dxa"/>
            <w:vMerge/>
          </w:tcPr>
          <w:p w14:paraId="22E7CDA7" w:rsidR="009252F4" w:rsidRPr="009252F4" w:rsidRDefault="009252F4" w:rsidP="009252F4">
            <w:pPr>
              <w:rPr>
                <w:rFonts w:ascii="Times New Roman" w:hAnsi="Times New Roman" w:cs="Times New Roman"/>
                <w:b/>
                <w:sz w:val="20"/>
                <w:szCs w:val="20"/>
                <w:u w:val="single"/>
              </w:rPr>
            </w:pPr>
          </w:p>
        </w:tc>
      </w:tr>
      <w:tr w14:paraId="50F87925" w:rsidR="009252F4" w:rsidRPr="009252F4" w:rsidTr="009252F4">
        <w:trPr>
          <w:trHeight w:val="1241"/>
        </w:trPr>
        <w:tc>
          <w:tcPr>
            <w:tcW w:w="2070" w:type="dxa"/>
            <w:vMerge/>
          </w:tcPr>
          <w:p w14:paraId="6F41E3A1" w:rsidR="009252F4" w:rsidRPr="009252F4" w:rsidRDefault="009252F4" w:rsidP="009252F4">
            <w:pPr>
              <w:rPr>
                <w:rFonts w:ascii="Times New Roman" w:hAnsi="Times New Roman" w:cs="Times New Roman"/>
                <w:b/>
                <w:sz w:val="20"/>
                <w:szCs w:val="20"/>
                <w:u w:val="single"/>
              </w:rPr>
            </w:pPr>
          </w:p>
        </w:tc>
        <w:tc>
          <w:tcPr>
            <w:tcW w:w="1980" w:type="dxa"/>
          </w:tcPr>
          <w:p w14:paraId="1608B06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PA network infrastructure and services</w:t>
            </w:r>
          </w:p>
        </w:tc>
        <w:tc>
          <w:tcPr>
            <w:tcW w:w="2790" w:type="dxa"/>
          </w:tcPr>
          <w:p w14:paraId="5930D9D1"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Inconsistent infrastructure and facilities and services across TPAs and MPAs.</w:t>
            </w:r>
          </w:p>
          <w:p w14:paraId="653010AB" w:rsidR="009252F4" w:rsidRPr="009252F4" w:rsidRDefault="009252F4" w:rsidP="009252F4">
            <w:pPr>
              <w:rPr>
                <w:rFonts w:ascii="Times New Roman" w:hAnsi="Times New Roman" w:cs="Times New Roman"/>
                <w:sz w:val="20"/>
                <w:szCs w:val="20"/>
              </w:rPr>
            </w:pPr>
          </w:p>
        </w:tc>
        <w:tc>
          <w:tcPr>
            <w:tcW w:w="2880" w:type="dxa"/>
          </w:tcPr>
          <w:p w14:paraId="2F9893E6"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Standardized and quality infrastructure facilities and services available at all TPA and MPA units in the PA network.</w:t>
            </w:r>
          </w:p>
          <w:p w14:paraId="7659A271" w:rsidR="009252F4" w:rsidRPr="009252F4" w:rsidRDefault="009252F4" w:rsidP="009252F4">
            <w:pPr>
              <w:rPr>
                <w:rFonts w:ascii="Times New Roman" w:hAnsi="Times New Roman" w:cs="Times New Roman"/>
                <w:sz w:val="20"/>
                <w:szCs w:val="20"/>
              </w:rPr>
            </w:pPr>
          </w:p>
        </w:tc>
        <w:tc>
          <w:tcPr>
            <w:tcW w:w="2250" w:type="dxa"/>
          </w:tcPr>
          <w:p w14:paraId="708FF0F2"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Field inspections </w:t>
            </w:r>
          </w:p>
          <w:p w14:paraId="314E3E69"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Documentation and records </w:t>
            </w:r>
          </w:p>
          <w:p w14:paraId="5F81B3A4" w:rsidR="009252F4" w:rsidRPr="009252F4" w:rsidRDefault="009252F4" w:rsidP="009252F4">
            <w:pPr>
              <w:rPr>
                <w:rFonts w:ascii="Times New Roman" w:hAnsi="Times New Roman" w:cs="Times New Roman"/>
                <w:sz w:val="20"/>
                <w:szCs w:val="20"/>
              </w:rPr>
            </w:pPr>
          </w:p>
        </w:tc>
        <w:tc>
          <w:tcPr>
            <w:tcW w:w="2520" w:type="dxa"/>
          </w:tcPr>
          <w:p w14:paraId="34DED2FA"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31C2BD73"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Adequate investments:</w:t>
            </w:r>
          </w:p>
          <w:p w14:paraId="1FB1D803"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Entrepreneurs willing to assist and collaborate in the project. </w:t>
            </w:r>
          </w:p>
        </w:tc>
      </w:tr>
      <w:tr w14:paraId="169EEBCD" w:rsidR="009252F4" w:rsidRPr="009252F4" w:rsidTr="009252F4">
        <w:trPr>
          <w:trHeight w:val="1556"/>
        </w:trPr>
        <w:tc>
          <w:tcPr>
            <w:tcW w:w="2070" w:type="dxa"/>
            <w:vMerge/>
          </w:tcPr>
          <w:p w14:paraId="69408F28" w:rsidR="009252F4" w:rsidRPr="009252F4" w:rsidRDefault="009252F4" w:rsidP="009252F4">
            <w:pPr>
              <w:rPr>
                <w:rFonts w:ascii="Times New Roman" w:hAnsi="Times New Roman" w:cs="Times New Roman"/>
                <w:b/>
                <w:sz w:val="20"/>
                <w:szCs w:val="20"/>
                <w:u w:val="single"/>
              </w:rPr>
            </w:pPr>
          </w:p>
        </w:tc>
        <w:tc>
          <w:tcPr>
            <w:tcW w:w="1980" w:type="dxa"/>
          </w:tcPr>
          <w:p w14:paraId="31808D31"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Community involvement in PA management through conservation and sustainable use of natural resources</w:t>
            </w:r>
          </w:p>
        </w:tc>
        <w:tc>
          <w:tcPr>
            <w:tcW w:w="2790" w:type="dxa"/>
          </w:tcPr>
          <w:p w14:paraId="1AE7E485"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0 communities adjacent to MPAs engaged in PA co-management </w:t>
            </w:r>
          </w:p>
          <w:p w14:paraId="042040F9"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0 communities adjacent to TPAs engaged on PA co-management</w:t>
            </w:r>
          </w:p>
        </w:tc>
        <w:tc>
          <w:tcPr>
            <w:tcW w:w="2880" w:type="dxa"/>
          </w:tcPr>
          <w:p w14:paraId="027D2B73"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3 communities adjacent to selected MPAs engaged in co-management</w:t>
            </w:r>
          </w:p>
          <w:p w14:paraId="1ED218FE"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3 communities adjacent to selected TPAs engaged in PA co-management</w:t>
            </w:r>
          </w:p>
        </w:tc>
        <w:tc>
          <w:tcPr>
            <w:tcW w:w="2250" w:type="dxa"/>
          </w:tcPr>
          <w:p w14:paraId="34D260FC"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Planning and policy documents and records.</w:t>
            </w:r>
          </w:p>
          <w:p w14:paraId="79EFCB58"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Project records</w:t>
            </w:r>
          </w:p>
          <w:p w14:paraId="29F4DEF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METT scorecard</w:t>
            </w:r>
          </w:p>
        </w:tc>
        <w:tc>
          <w:tcPr>
            <w:tcW w:w="2520" w:type="dxa"/>
          </w:tcPr>
          <w:p w14:paraId="53C92E04"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6332E1B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Community interest in engaging in PA management activities</w:t>
            </w:r>
          </w:p>
        </w:tc>
      </w:tr>
      <w:tr w14:paraId="792E37BB" w:rsidR="009252F4" w:rsidRPr="009252F4" w:rsidTr="009252F4">
        <w:trPr>
          <w:trHeight w:val="1790"/>
        </w:trPr>
        <w:tc>
          <w:tcPr>
            <w:tcW w:w="2070" w:type="dxa"/>
            <w:vMerge/>
          </w:tcPr>
          <w:p w14:paraId="206C068C" w:rsidR="009252F4" w:rsidRPr="009252F4" w:rsidRDefault="009252F4" w:rsidP="009252F4">
            <w:pPr>
              <w:rPr>
                <w:rFonts w:ascii="Times New Roman" w:hAnsi="Times New Roman" w:cs="Times New Roman"/>
                <w:sz w:val="20"/>
                <w:szCs w:val="20"/>
              </w:rPr>
            </w:pPr>
          </w:p>
        </w:tc>
        <w:tc>
          <w:tcPr>
            <w:tcW w:w="1980" w:type="dxa"/>
          </w:tcPr>
          <w:p w14:paraId="375CA80B"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Benefits/profitability from conservation/ sustainable-use resource-based livelihood opportunities</w:t>
            </w:r>
          </w:p>
        </w:tc>
        <w:tc>
          <w:tcPr>
            <w:tcW w:w="2790" w:type="dxa"/>
          </w:tcPr>
          <w:p w14:paraId="0DD6031D"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No systematic collaboration for INRM linked to livelihood  opportunities </w:t>
            </w:r>
          </w:p>
          <w:p w14:paraId="62CF9F30"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Minimal benefits from resources based livelihoods </w:t>
            </w:r>
          </w:p>
        </w:tc>
        <w:tc>
          <w:tcPr>
            <w:tcW w:w="2880" w:type="dxa"/>
          </w:tcPr>
          <w:p w14:paraId="70BE4B3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Incentive schemes to engage entrepreneurs in INRM practices linked to livelihoods</w:t>
            </w:r>
          </w:p>
          <w:p w14:paraId="2858B2D3"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Measured increase in benefits from resource based livelihoods</w:t>
            </w:r>
          </w:p>
        </w:tc>
        <w:tc>
          <w:tcPr>
            <w:tcW w:w="2250" w:type="dxa"/>
          </w:tcPr>
          <w:p w14:paraId="7BD2557C"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Project records</w:t>
            </w:r>
          </w:p>
          <w:p w14:paraId="390AAD4F" w:rsidR="009252F4" w:rsidRPr="009252F4" w:rsidRDefault="009252F4" w:rsidP="009252F4">
            <w:pPr>
              <w:widowControl w:val="0"/>
              <w:numPr>
                <w:ilvl w:val="0"/>
                <w:numId w:val="51"/>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METT scorecard</w:t>
            </w:r>
          </w:p>
        </w:tc>
        <w:tc>
          <w:tcPr>
            <w:tcW w:w="2520" w:type="dxa"/>
          </w:tcPr>
          <w:p w14:paraId="624AEE59" w:rsidR="009252F4" w:rsidRPr="009252F4" w:rsidRDefault="009252F4" w:rsidP="009252F4">
            <w:pPr>
              <w:rPr>
                <w:rFonts w:ascii="Times New Roman" w:hAnsi="Times New Roman" w:cs="Times New Roman"/>
                <w:sz w:val="20"/>
                <w:szCs w:val="20"/>
              </w:rPr>
            </w:pPr>
          </w:p>
        </w:tc>
      </w:tr>
      <w:tr w14:paraId="330C2809" w:rsidR="009252F4" w:rsidRPr="009252F4" w:rsidTr="009252F4">
        <w:trPr>
          <w:trHeight w:val="521"/>
        </w:trPr>
        <w:tc>
          <w:tcPr>
            <w:tcW w:w="14490" w:type="dxa"/>
            <w:gridSpan w:val="6"/>
          </w:tcPr>
          <w:p w14:paraId="6145919C"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Outputs:</w:t>
            </w:r>
          </w:p>
          <w:p w14:paraId="74E59EE1" w:rsidR="009252F4" w:rsidRPr="009252F4" w:rsidRDefault="009252F4" w:rsidP="009252F4">
            <w:pPr>
              <w:ind w:left="720" w:hanging="720"/>
              <w:jc w:val="both"/>
              <w:rPr>
                <w:rFonts w:ascii="Times New Roman" w:hAnsi="Times New Roman" w:cs="Times New Roman"/>
              </w:rPr>
            </w:pPr>
            <w:r w:rsidRPr="009252F4">
              <w:rPr>
                <w:rFonts w:ascii="Times New Roman" w:hAnsi="Times New Roman" w:cs="Times New Roman"/>
              </w:rPr>
              <w:t>1.1</w:t>
            </w:r>
            <w:r w:rsidRPr="009252F4">
              <w:rPr>
                <w:rFonts w:ascii="Times New Roman" w:hAnsi="Times New Roman" w:cs="Times New Roman"/>
              </w:rPr>
              <w:tab/>
            </w:r>
            <w:r w:rsidRPr="009252F4">
              <w:rPr>
                <w:rFonts w:ascii="Times New Roman" w:hAnsi="Times New Roman" w:cs="Times New Roman"/>
                <w:u w:val="single"/>
              </w:rPr>
              <w:t>Institutional framework for PA System Management</w:t>
            </w:r>
            <w:r w:rsidRPr="009252F4">
              <w:rPr>
                <w:rFonts w:ascii="Times New Roman" w:hAnsi="Times New Roman" w:cs="Times New Roman"/>
              </w:rPr>
              <w:t xml:space="preserve"> that would develop and administer a policy-based strategic plan of action for an expanded PA net</w:t>
            </w:r>
            <w:r w:rsidR="00510712">
              <w:rPr>
                <w:rFonts w:ascii="Times New Roman" w:hAnsi="Times New Roman" w:cs="Times New Roman"/>
              </w:rPr>
              <w:t>work, one advisory body for TPA</w:t>
            </w:r>
            <w:r w:rsidRPr="009252F4">
              <w:rPr>
                <w:rFonts w:ascii="Times New Roman" w:hAnsi="Times New Roman" w:cs="Times New Roman"/>
              </w:rPr>
              <w:t>s while the othe</w:t>
            </w:r>
            <w:r w:rsidR="00510712">
              <w:rPr>
                <w:rFonts w:ascii="Times New Roman" w:hAnsi="Times New Roman" w:cs="Times New Roman"/>
              </w:rPr>
              <w:t>r is for MPA</w:t>
            </w:r>
            <w:r w:rsidRPr="009252F4">
              <w:rPr>
                <w:rFonts w:ascii="Times New Roman" w:hAnsi="Times New Roman" w:cs="Times New Roman"/>
              </w:rPr>
              <w:t>s; with the aid of policy instruments.</w:t>
            </w:r>
          </w:p>
          <w:p w14:paraId="106D050E" w:rsidR="009252F4" w:rsidRPr="009252F4" w:rsidRDefault="009252F4" w:rsidP="009252F4">
            <w:pPr>
              <w:ind w:left="720" w:hanging="720"/>
              <w:jc w:val="both"/>
              <w:rPr>
                <w:rFonts w:ascii="Times New Roman" w:hAnsi="Times New Roman" w:cs="Times New Roman"/>
              </w:rPr>
            </w:pPr>
            <w:r w:rsidRPr="009252F4">
              <w:rPr>
                <w:rFonts w:ascii="Times New Roman" w:hAnsi="Times New Roman" w:cs="Times New Roman"/>
              </w:rPr>
              <w:t>1.2</w:t>
            </w:r>
            <w:r w:rsidRPr="009252F4">
              <w:rPr>
                <w:rFonts w:ascii="Times New Roman" w:hAnsi="Times New Roman" w:cs="Times New Roman"/>
              </w:rPr>
              <w:tab/>
            </w:r>
            <w:r w:rsidRPr="009252F4">
              <w:rPr>
                <w:rFonts w:ascii="Times New Roman" w:hAnsi="Times New Roman" w:cs="Times New Roman"/>
                <w:u w:val="single"/>
              </w:rPr>
              <w:t>A legal and regulatory framework</w:t>
            </w:r>
            <w:r w:rsidRPr="009252F4">
              <w:rPr>
                <w:rFonts w:ascii="Times New Roman" w:hAnsi="Times New Roman" w:cs="Times New Roman"/>
              </w:rPr>
              <w:t xml:space="preserve"> established through the finalization and approval of </w:t>
            </w:r>
            <w:r w:rsidR="00510712">
              <w:rPr>
                <w:rFonts w:ascii="Times New Roman" w:hAnsi="Times New Roman" w:cs="Times New Roman"/>
              </w:rPr>
              <w:t xml:space="preserve">the bill for </w:t>
            </w:r>
            <w:r w:rsidRPr="009252F4">
              <w:rPr>
                <w:rFonts w:ascii="Times New Roman" w:hAnsi="Times New Roman" w:cs="Times New Roman"/>
              </w:rPr>
              <w:t>“Protected</w:t>
            </w:r>
            <w:r w:rsidR="00510712">
              <w:rPr>
                <w:rFonts w:ascii="Times New Roman" w:hAnsi="Times New Roman" w:cs="Times New Roman"/>
              </w:rPr>
              <w:t xml:space="preserve"> Area, Forestry and Wildlife</w:t>
            </w:r>
            <w:r w:rsidRPr="009252F4">
              <w:rPr>
                <w:rFonts w:ascii="Times New Roman" w:hAnsi="Times New Roman" w:cs="Times New Roman"/>
              </w:rPr>
              <w:t>” enhanced with SROs and operations management policy instruments that would the consolidate legal process to include private lands in the PA system.</w:t>
            </w:r>
            <w:r w:rsidR="00510712">
              <w:rPr>
                <w:rFonts w:ascii="Times New Roman" w:hAnsi="Times New Roman" w:cs="Times New Roman"/>
              </w:rPr>
              <w:t xml:space="preserve"> Accompanied by an adapted </w:t>
            </w:r>
            <w:r w:rsidR="00510712" w:rsidRPr="00510712">
              <w:rPr>
                <w:rFonts w:ascii="Times New Roman" w:hAnsi="Times New Roman" w:cs="Times New Roman"/>
              </w:rPr>
              <w:t xml:space="preserve">MPA Act as </w:t>
            </w:r>
            <w:r w:rsidR="00510712">
              <w:rPr>
                <w:rFonts w:ascii="Times New Roman" w:hAnsi="Times New Roman" w:cs="Times New Roman"/>
              </w:rPr>
              <w:t xml:space="preserve">a </w:t>
            </w:r>
            <w:r w:rsidR="00510712" w:rsidRPr="00510712">
              <w:rPr>
                <w:rFonts w:ascii="Times New Roman" w:hAnsi="Times New Roman" w:cs="Times New Roman"/>
              </w:rPr>
              <w:t>response to community wide consultations with key stakeholders</w:t>
            </w:r>
            <w:r w:rsidR="00510712">
              <w:rPr>
                <w:rFonts w:ascii="Times New Roman" w:hAnsi="Times New Roman" w:cs="Times New Roman"/>
              </w:rPr>
              <w:t>.</w:t>
            </w:r>
          </w:p>
          <w:p w14:paraId="7E2E7331" w:rsidR="009252F4" w:rsidRPr="009252F4" w:rsidRDefault="009252F4" w:rsidP="009252F4">
            <w:pPr>
              <w:ind w:left="720" w:hanging="720"/>
              <w:jc w:val="both"/>
              <w:rPr>
                <w:rFonts w:ascii="Times New Roman" w:hAnsi="Times New Roman" w:cs="Times New Roman"/>
              </w:rPr>
            </w:pPr>
            <w:r w:rsidRPr="009252F4">
              <w:rPr>
                <w:rFonts w:ascii="Times New Roman" w:hAnsi="Times New Roman" w:cs="Times New Roman"/>
              </w:rPr>
              <w:t>1.3</w:t>
            </w:r>
            <w:r w:rsidRPr="009252F4">
              <w:rPr>
                <w:rFonts w:ascii="Times New Roman" w:hAnsi="Times New Roman" w:cs="Times New Roman"/>
              </w:rPr>
              <w:tab/>
            </w:r>
            <w:r w:rsidRPr="009252F4">
              <w:rPr>
                <w:rFonts w:ascii="Times New Roman" w:hAnsi="Times New Roman" w:cs="Times New Roman"/>
                <w:u w:val="single"/>
              </w:rPr>
              <w:t>Expanded PA system</w:t>
            </w:r>
            <w:r w:rsidRPr="009252F4">
              <w:rPr>
                <w:rFonts w:ascii="Times New Roman" w:hAnsi="Times New Roman" w:cs="Times New Roman"/>
              </w:rPr>
              <w:t xml:space="preserve"> through the creation of a new TPA (1000 ha.), enhanced management of 8 sub-optimally managed TPAs, as well as low-cost improvements for 4 small-hectare TPAs; and the creation of 4 new MPAs (11,400 ha).</w:t>
            </w:r>
          </w:p>
          <w:p w14:paraId="10A3A90A" w:rsidR="009252F4" w:rsidRPr="009252F4" w:rsidRDefault="009252F4" w:rsidP="009252F4">
            <w:pPr>
              <w:jc w:val="both"/>
              <w:rPr>
                <w:rFonts w:ascii="Times New Roman" w:hAnsi="Times New Roman" w:cs="Times New Roman"/>
              </w:rPr>
            </w:pPr>
            <w:r w:rsidRPr="009252F4">
              <w:rPr>
                <w:rFonts w:ascii="Times New Roman" w:hAnsi="Times New Roman" w:cs="Times New Roman"/>
              </w:rPr>
              <w:t>1.4</w:t>
            </w:r>
            <w:r w:rsidRPr="009252F4">
              <w:rPr>
                <w:rFonts w:ascii="Times New Roman" w:hAnsi="Times New Roman" w:cs="Times New Roman"/>
              </w:rPr>
              <w:tab/>
            </w:r>
            <w:r w:rsidRPr="009252F4">
              <w:rPr>
                <w:rFonts w:ascii="Times New Roman" w:hAnsi="Times New Roman" w:cs="Times New Roman"/>
                <w:u w:val="single"/>
              </w:rPr>
              <w:t>Management of Protected Area Units Institutionalized</w:t>
            </w:r>
            <w:r w:rsidRPr="009252F4">
              <w:rPr>
                <w:rFonts w:ascii="Times New Roman" w:hAnsi="Times New Roman" w:cs="Times New Roman"/>
              </w:rPr>
              <w:t xml:space="preserve"> as a TPA network and with a MPA network.</w:t>
            </w:r>
          </w:p>
          <w:p w14:paraId="252918EF" w:rsidR="009252F4" w:rsidRPr="009252F4" w:rsidRDefault="009252F4" w:rsidP="009252F4">
            <w:pPr>
              <w:ind w:left="720" w:hanging="720"/>
              <w:jc w:val="both"/>
              <w:rPr>
                <w:rFonts w:ascii="Times New Roman" w:hAnsi="Times New Roman" w:cs="Times New Roman"/>
              </w:rPr>
            </w:pPr>
            <w:r w:rsidRPr="009252F4">
              <w:rPr>
                <w:rFonts w:ascii="Times New Roman" w:hAnsi="Times New Roman" w:cs="Times New Roman"/>
              </w:rPr>
              <w:t>1.5</w:t>
            </w:r>
            <w:r w:rsidRPr="009252F4">
              <w:rPr>
                <w:rFonts w:ascii="Times New Roman" w:hAnsi="Times New Roman" w:cs="Times New Roman"/>
              </w:rPr>
              <w:tab/>
            </w:r>
            <w:r w:rsidRPr="009252F4">
              <w:rPr>
                <w:rFonts w:ascii="Times New Roman" w:hAnsi="Times New Roman" w:cs="Times New Roman"/>
                <w:u w:val="single"/>
              </w:rPr>
              <w:t>Conservation and sustainable use of natural resources as a means for community involvement in PA co-management</w:t>
            </w:r>
            <w:r w:rsidRPr="009252F4">
              <w:rPr>
                <w:rFonts w:ascii="Times New Roman" w:hAnsi="Times New Roman" w:cs="Times New Roman"/>
              </w:rPr>
              <w:t>.</w:t>
            </w:r>
          </w:p>
        </w:tc>
      </w:tr>
    </w:tbl>
    <w:p w14:paraId="6F403129" w:rsidR="009252F4" w:rsidRPr="009252F4" w:rsidRDefault="009252F4" w:rsidP="009252F4">
      <w:pPr>
        <w:spacing w:line="240" w:lineRule="auto"/>
        <w:rPr>
          <w:rFonts w:ascii="Times New Roman" w:eastAsiaTheme="minorHAnsi" w:hAnsi="Times New Roman" w:cs="Times New Roman"/>
          <w:b/>
          <w:color w:val="7030A0"/>
          <w:sz w:val="20"/>
          <w:szCs w:val="20"/>
        </w:rPr>
      </w:pPr>
    </w:p>
    <w:tbl>
      <w:tblPr>
        <w:tblStyle w:val="TableGrid5"/>
        <w:tblW w:w="14490" w:type="dxa"/>
        <w:tblInd w:w="-702" w:type="dxa"/>
        <w:tblLook w:val="04A0" w:firstRow="1" w:lastRow="0" w:firstColumn="1" w:lastColumn="0" w:noHBand="0" w:noVBand="1"/>
      </w:tblPr>
      <w:tblGrid>
        <w:gridCol w:w="2070"/>
        <w:gridCol w:w="1980"/>
        <w:gridCol w:w="2700"/>
        <w:gridCol w:w="2970"/>
        <w:gridCol w:w="2250"/>
        <w:gridCol w:w="2520"/>
      </w:tblGrid>
      <w:tr w14:paraId="04B7E82A" w:rsidR="009252F4" w:rsidRPr="009252F4" w:rsidTr="009252F4">
        <w:trPr>
          <w:trHeight w:val="530"/>
          <w:tblHeader/>
        </w:trPr>
        <w:tc>
          <w:tcPr>
            <w:tcW w:w="2070" w:type="dxa"/>
            <w:shd w:val="clear" w:color="auto" w:fill="F2F2F2" w:themeFill="background1" w:themeFillShade="F2"/>
            <w:vAlign w:val="center"/>
          </w:tcPr>
          <w:p w14:paraId="460A6B57" w:rsidR="009252F4" w:rsidRPr="009252F4" w:rsidRDefault="009252F4" w:rsidP="009252F4">
            <w:pPr>
              <w:rPr>
                <w:rFonts w:ascii="Times New Roman" w:hAnsi="Times New Roman" w:cs="Times New Roman"/>
                <w:b/>
                <w:sz w:val="20"/>
                <w:szCs w:val="20"/>
              </w:rPr>
            </w:pPr>
            <w:r w:rsidRPr="009252F4">
              <w:br w:type="page"/>
            </w:r>
            <w:r w:rsidRPr="009252F4">
              <w:rPr>
                <w:rFonts w:ascii="Times New Roman" w:hAnsi="Times New Roman" w:cs="Times New Roman"/>
                <w:b/>
                <w:sz w:val="20"/>
                <w:szCs w:val="20"/>
              </w:rPr>
              <w:t>Outcome #2</w:t>
            </w:r>
          </w:p>
        </w:tc>
        <w:tc>
          <w:tcPr>
            <w:tcW w:w="1980" w:type="dxa"/>
            <w:shd w:val="clear" w:color="auto" w:fill="F2F2F2" w:themeFill="background1" w:themeFillShade="F2"/>
            <w:vAlign w:val="center"/>
          </w:tcPr>
          <w:p w14:paraId="5CA37307"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Indicator</w:t>
            </w:r>
          </w:p>
        </w:tc>
        <w:tc>
          <w:tcPr>
            <w:tcW w:w="2700" w:type="dxa"/>
            <w:shd w:val="clear" w:color="auto" w:fill="F2F2F2" w:themeFill="background1" w:themeFillShade="F2"/>
            <w:vAlign w:val="center"/>
          </w:tcPr>
          <w:p w14:paraId="744C1A88"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Baseline</w:t>
            </w:r>
          </w:p>
        </w:tc>
        <w:tc>
          <w:tcPr>
            <w:tcW w:w="2970" w:type="dxa"/>
            <w:shd w:val="clear" w:color="auto" w:fill="F2F2F2" w:themeFill="background1" w:themeFillShade="F2"/>
            <w:vAlign w:val="center"/>
          </w:tcPr>
          <w:p w14:paraId="35056D73"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Target</w:t>
            </w:r>
          </w:p>
        </w:tc>
        <w:tc>
          <w:tcPr>
            <w:tcW w:w="2250" w:type="dxa"/>
            <w:shd w:val="clear" w:color="auto" w:fill="F2F2F2" w:themeFill="background1" w:themeFillShade="F2"/>
            <w:vAlign w:val="center"/>
          </w:tcPr>
          <w:p w14:paraId="7AB7C3CC"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Means of Verification</w:t>
            </w:r>
          </w:p>
        </w:tc>
        <w:tc>
          <w:tcPr>
            <w:tcW w:w="2520" w:type="dxa"/>
            <w:shd w:val="clear" w:color="auto" w:fill="F2F2F2" w:themeFill="background1" w:themeFillShade="F2"/>
            <w:vAlign w:val="center"/>
          </w:tcPr>
          <w:p w14:paraId="532A22B1"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rPr>
              <w:t>Risks and Assumptions</w:t>
            </w:r>
          </w:p>
        </w:tc>
      </w:tr>
      <w:tr w14:paraId="66285F1D" w:rsidR="009252F4" w:rsidRPr="009252F4" w:rsidTr="009252F4">
        <w:tc>
          <w:tcPr>
            <w:tcW w:w="2070" w:type="dxa"/>
            <w:vMerge w:val="restart"/>
          </w:tcPr>
          <w:p w14:paraId="0BF3F6CB" w:rsidR="009252F4" w:rsidRPr="009252F4" w:rsidRDefault="009252F4" w:rsidP="009252F4">
            <w:pPr>
              <w:widowControl w:val="0"/>
              <w:numPr>
                <w:ilvl w:val="0"/>
                <w:numId w:val="50"/>
              </w:numPr>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Climate resilient SLM practices applied in the Beausejour watershed to reduce threats adjacent to and upstream of PAs.</w:t>
            </w:r>
          </w:p>
        </w:tc>
        <w:tc>
          <w:tcPr>
            <w:tcW w:w="1980" w:type="dxa"/>
          </w:tcPr>
          <w:p w14:paraId="44485DFC"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Planning and management framework for SLM/INRM</w:t>
            </w:r>
          </w:p>
          <w:p w14:paraId="223FB7F3" w:rsidR="009252F4" w:rsidRPr="009252F4" w:rsidRDefault="009252F4" w:rsidP="009252F4">
            <w:pPr>
              <w:rPr>
                <w:rFonts w:ascii="Times New Roman" w:hAnsi="Times New Roman" w:cs="Times New Roman"/>
                <w:sz w:val="20"/>
                <w:szCs w:val="20"/>
              </w:rPr>
            </w:pPr>
          </w:p>
        </w:tc>
        <w:tc>
          <w:tcPr>
            <w:tcW w:w="2700" w:type="dxa"/>
          </w:tcPr>
          <w:p w14:paraId="6E156CAA"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LUP regulations limiting agriculture and housing.</w:t>
            </w:r>
          </w:p>
          <w:p w14:paraId="5708ADCC"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National Forestry Policy does not consider C sequestration.</w:t>
            </w:r>
          </w:p>
          <w:p w14:paraId="454D04A2"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intersectoral body or committee in place for implementing a watershed management plan using INRM approaches.</w:t>
            </w:r>
          </w:p>
          <w:p w14:paraId="423F8266"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Stakeholders not engaged in community-based rule-making with respect to applying INRM practices.</w:t>
            </w:r>
          </w:p>
          <w:p w14:paraId="75FDF820"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systematic monitoring for water quality/quantity, sediment and pollution impacts</w:t>
            </w:r>
          </w:p>
        </w:tc>
        <w:tc>
          <w:tcPr>
            <w:tcW w:w="2970" w:type="dxa"/>
          </w:tcPr>
          <w:p w14:paraId="6C01D8EF"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LUP regulations elaborated and implemented to limit agriculture and housing.</w:t>
            </w:r>
          </w:p>
          <w:p w14:paraId="0F2C8D5A"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NFP updated to include C sequestration.</w:t>
            </w:r>
          </w:p>
          <w:p w14:paraId="3EFCFA66" w:rsidR="009252F4" w:rsidRPr="009252F4" w:rsidRDefault="009252F4" w:rsidP="009252F4">
            <w:pPr>
              <w:rPr>
                <w:rFonts w:ascii="Times New Roman" w:hAnsi="Times New Roman" w:cs="Times New Roman"/>
                <w:sz w:val="20"/>
                <w:szCs w:val="20"/>
              </w:rPr>
            </w:pPr>
          </w:p>
          <w:p w14:paraId="62B9EDD5"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Intersectoral committee established within Year 1</w:t>
            </w:r>
          </w:p>
          <w:p w14:paraId="4E7E9F38" w:rsidR="009252F4" w:rsidRPr="009252F4" w:rsidRDefault="009252F4" w:rsidP="009252F4">
            <w:pPr>
              <w:rPr>
                <w:rFonts w:ascii="Times New Roman" w:hAnsi="Times New Roman" w:cs="Times New Roman"/>
                <w:sz w:val="20"/>
                <w:szCs w:val="20"/>
              </w:rPr>
            </w:pPr>
          </w:p>
          <w:p w14:paraId="6EC36864"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The intersectoral watershed committee engages stakeholders to formulate community-based rules for applying INRM practices within 2-3 yrs.</w:t>
            </w:r>
          </w:p>
          <w:p w14:paraId="0C862027"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A water quality/quantity protocol set in place within Year 2.</w:t>
            </w:r>
          </w:p>
        </w:tc>
        <w:tc>
          <w:tcPr>
            <w:tcW w:w="2250" w:type="dxa"/>
          </w:tcPr>
          <w:p w14:paraId="35F067F6"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Capacity development scorecard </w:t>
            </w:r>
          </w:p>
          <w:p w14:paraId="66A72AB3"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Project records of engagements between and among stakeholders.</w:t>
            </w:r>
          </w:p>
          <w:p w14:paraId="3453FD73"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Minutes of intersectional committee meetings.</w:t>
            </w:r>
          </w:p>
          <w:p w14:paraId="3634671F"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Water quality and quantity protocol</w:t>
            </w:r>
          </w:p>
          <w:p w14:paraId="503AFB94" w:rsidR="009252F4" w:rsidRPr="009252F4" w:rsidRDefault="009252F4" w:rsidP="009252F4">
            <w:pPr>
              <w:widowControl w:val="0"/>
              <w:numPr>
                <w:ilvl w:val="0"/>
                <w:numId w:val="73"/>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Updated National Forest Policy document.</w:t>
            </w:r>
          </w:p>
        </w:tc>
        <w:tc>
          <w:tcPr>
            <w:tcW w:w="2520" w:type="dxa"/>
          </w:tcPr>
          <w:p w14:paraId="260245A3"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Assumptions:</w:t>
            </w:r>
          </w:p>
          <w:p w14:paraId="73B33BEA"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Optimal community uptake of the watershed management plan of action.</w:t>
            </w:r>
          </w:p>
          <w:p w14:paraId="044EB841" w:rsidR="009252F4" w:rsidRPr="009252F4" w:rsidRDefault="009252F4" w:rsidP="009252F4">
            <w:pPr>
              <w:rPr>
                <w:rFonts w:ascii="Times New Roman" w:hAnsi="Times New Roman" w:cs="Times New Roman"/>
                <w:sz w:val="20"/>
                <w:szCs w:val="20"/>
              </w:rPr>
            </w:pPr>
          </w:p>
          <w:p w14:paraId="0E2E6FF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Practical evidence of accommodation of TEK, LK and ideals of local area, persons accommodated in watershed management plan.</w:t>
            </w:r>
          </w:p>
          <w:p w14:paraId="0FA9480D" w:rsidR="009252F4" w:rsidRPr="009252F4" w:rsidRDefault="009252F4" w:rsidP="009252F4">
            <w:pPr>
              <w:rPr>
                <w:rFonts w:ascii="Times New Roman" w:hAnsi="Times New Roman" w:cs="Times New Roman"/>
                <w:sz w:val="20"/>
                <w:szCs w:val="20"/>
              </w:rPr>
            </w:pPr>
          </w:p>
          <w:p w14:paraId="0AAF9A2F"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Collaboration is ongoing between and among competent authorities relevant to the exercise.</w:t>
            </w:r>
          </w:p>
          <w:p w14:paraId="253CF6D5" w:rsidR="009252F4" w:rsidRPr="009252F4" w:rsidRDefault="009252F4" w:rsidP="009252F4">
            <w:pPr>
              <w:rPr>
                <w:rFonts w:ascii="Times New Roman" w:hAnsi="Times New Roman" w:cs="Times New Roman"/>
                <w:sz w:val="20"/>
                <w:szCs w:val="20"/>
              </w:rPr>
            </w:pPr>
          </w:p>
        </w:tc>
      </w:tr>
      <w:tr w14:paraId="0DBEC2AD" w:rsidR="009252F4" w:rsidRPr="009252F4" w:rsidTr="009252F4">
        <w:trPr>
          <w:trHeight w:val="1520"/>
        </w:trPr>
        <w:tc>
          <w:tcPr>
            <w:tcW w:w="2070" w:type="dxa"/>
            <w:vMerge/>
          </w:tcPr>
          <w:p w14:paraId="068F6EA9" w:rsidR="009252F4" w:rsidRPr="009252F4" w:rsidRDefault="009252F4" w:rsidP="009252F4">
            <w:pPr>
              <w:rPr>
                <w:rFonts w:ascii="Times New Roman" w:hAnsi="Times New Roman" w:cs="Times New Roman"/>
                <w:b/>
                <w:sz w:val="20"/>
                <w:szCs w:val="20"/>
                <w:u w:val="single"/>
              </w:rPr>
            </w:pPr>
          </w:p>
        </w:tc>
        <w:tc>
          <w:tcPr>
            <w:tcW w:w="1980" w:type="dxa"/>
          </w:tcPr>
          <w:p w14:paraId="04E21D33" w:rsidR="009252F4" w:rsidRPr="009252F4" w:rsidRDefault="009252F4" w:rsidP="00F77D88">
            <w:pPr>
              <w:rPr>
                <w:rFonts w:ascii="Times New Roman" w:hAnsi="Times New Roman" w:cs="Times New Roman"/>
                <w:sz w:val="20"/>
                <w:szCs w:val="20"/>
              </w:rPr>
            </w:pPr>
            <w:r w:rsidRPr="009252F4">
              <w:rPr>
                <w:rFonts w:ascii="Times New Roman" w:hAnsi="Times New Roman" w:cs="Times New Roman"/>
                <w:sz w:val="20"/>
                <w:szCs w:val="20"/>
              </w:rPr>
              <w:t>Community participation in S</w:t>
            </w:r>
            <w:r w:rsidR="00F77D88">
              <w:rPr>
                <w:rFonts w:ascii="Times New Roman" w:hAnsi="Times New Roman" w:cs="Times New Roman"/>
                <w:sz w:val="20"/>
                <w:szCs w:val="20"/>
              </w:rPr>
              <w:t>F</w:t>
            </w:r>
            <w:r w:rsidRPr="009252F4">
              <w:rPr>
                <w:rFonts w:ascii="Times New Roman" w:hAnsi="Times New Roman" w:cs="Times New Roman"/>
                <w:sz w:val="20"/>
                <w:szCs w:val="20"/>
              </w:rPr>
              <w:t>M.</w:t>
            </w:r>
          </w:p>
        </w:tc>
        <w:tc>
          <w:tcPr>
            <w:tcW w:w="2700" w:type="dxa"/>
          </w:tcPr>
          <w:p w14:paraId="6B669918"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No involvement of local stakeholders in initiatives to review and update the National Forest Policy (NFP) to consider carbon sequestration.</w:t>
            </w:r>
          </w:p>
        </w:tc>
        <w:tc>
          <w:tcPr>
            <w:tcW w:w="2970" w:type="dxa"/>
          </w:tcPr>
          <w:p w14:paraId="3CA4E43E"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Community engaged in updating of NFP; and SROs promulgated by Year 3.</w:t>
            </w:r>
          </w:p>
        </w:tc>
        <w:tc>
          <w:tcPr>
            <w:tcW w:w="2250" w:type="dxa"/>
          </w:tcPr>
          <w:p w14:paraId="3AABE06B"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Project records of engagements between and among stakeholders.</w:t>
            </w:r>
          </w:p>
          <w:p w14:paraId="7CA74012"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Updated NFP and related SROs</w:t>
            </w:r>
          </w:p>
        </w:tc>
        <w:tc>
          <w:tcPr>
            <w:tcW w:w="2520" w:type="dxa"/>
          </w:tcPr>
          <w:p w14:paraId="64CA5474" w:rsidR="009252F4" w:rsidRPr="009252F4" w:rsidRDefault="009252F4" w:rsidP="009252F4">
            <w:pPr>
              <w:rPr>
                <w:rFonts w:ascii="Times New Roman" w:hAnsi="Times New Roman" w:cs="Times New Roman"/>
                <w:b/>
                <w:sz w:val="20"/>
                <w:szCs w:val="20"/>
                <w:u w:val="single"/>
              </w:rPr>
            </w:pPr>
          </w:p>
        </w:tc>
      </w:tr>
      <w:tr w14:paraId="641054D6" w:rsidR="009252F4" w:rsidRPr="009252F4" w:rsidTr="009252F4">
        <w:trPr>
          <w:trHeight w:val="2609"/>
        </w:trPr>
        <w:tc>
          <w:tcPr>
            <w:tcW w:w="2070" w:type="dxa"/>
            <w:vMerge/>
          </w:tcPr>
          <w:p w14:paraId="59929D89" w:rsidR="009252F4" w:rsidRPr="009252F4" w:rsidRDefault="009252F4" w:rsidP="009252F4">
            <w:pPr>
              <w:rPr>
                <w:rFonts w:ascii="Times New Roman" w:hAnsi="Times New Roman" w:cs="Times New Roman"/>
                <w:b/>
                <w:sz w:val="20"/>
                <w:szCs w:val="20"/>
                <w:u w:val="single"/>
              </w:rPr>
            </w:pPr>
          </w:p>
        </w:tc>
        <w:tc>
          <w:tcPr>
            <w:tcW w:w="1980" w:type="dxa"/>
          </w:tcPr>
          <w:p w14:paraId="4AF540A4"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Direct carbon benefits through avoided deforestation; forest enrichment; and planting in the Beausejour watershed.</w:t>
            </w:r>
          </w:p>
          <w:p w14:paraId="0B42408D" w:rsidR="009252F4" w:rsidRPr="009252F4" w:rsidRDefault="009252F4" w:rsidP="009252F4">
            <w:pPr>
              <w:rPr>
                <w:rFonts w:ascii="Times New Roman" w:hAnsi="Times New Roman" w:cs="Times New Roman"/>
                <w:sz w:val="20"/>
                <w:szCs w:val="20"/>
              </w:rPr>
            </w:pPr>
          </w:p>
          <w:p w14:paraId="6DBF2366" w:rsidR="009252F4" w:rsidRPr="009252F4" w:rsidRDefault="009252F4" w:rsidP="009252F4">
            <w:pPr>
              <w:rPr>
                <w:rFonts w:ascii="Times New Roman" w:hAnsi="Times New Roman" w:cs="Times New Roman"/>
                <w:sz w:val="20"/>
                <w:szCs w:val="20"/>
              </w:rPr>
            </w:pPr>
          </w:p>
        </w:tc>
        <w:tc>
          <w:tcPr>
            <w:tcW w:w="2700" w:type="dxa"/>
          </w:tcPr>
          <w:p w14:paraId="1F060F36"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9,613tC sequestration by 3337.3 ha. of private forest</w:t>
            </w:r>
          </w:p>
          <w:p w14:paraId="7EE7A6C0"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4,320tC sequestration by150ha increase in forest cover with removal of 40ha of bamboo </w:t>
            </w:r>
          </w:p>
          <w:p w14:paraId="246B2C1E"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0 tC from avoided deforestation and sustainable planting products</w:t>
            </w:r>
          </w:p>
          <w:p w14:paraId="6F01E5D7" w:rsidR="009252F4" w:rsidRPr="009252F4" w:rsidRDefault="009252F4" w:rsidP="009252F4">
            <w:pPr>
              <w:rPr>
                <w:rFonts w:ascii="Times New Roman" w:hAnsi="Times New Roman" w:cs="Times New Roman"/>
                <w:sz w:val="20"/>
                <w:szCs w:val="20"/>
              </w:rPr>
            </w:pPr>
          </w:p>
        </w:tc>
        <w:tc>
          <w:tcPr>
            <w:tcW w:w="2970" w:type="dxa"/>
          </w:tcPr>
          <w:p w14:paraId="51A6AEA3"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9,613tC sequestration maintained in private forests</w:t>
            </w:r>
          </w:p>
          <w:p w14:paraId="426F2B19" w:rsidR="009252F4" w:rsidRPr="009252F4" w:rsidRDefault="009252F4" w:rsidP="009252F4">
            <w:pPr>
              <w:ind w:left="360"/>
              <w:contextualSpacing/>
              <w:rPr>
                <w:rFonts w:ascii="Times New Roman" w:hAnsi="Times New Roman" w:cs="Times New Roman"/>
                <w:sz w:val="20"/>
                <w:szCs w:val="20"/>
              </w:rPr>
            </w:pPr>
          </w:p>
          <w:p w14:paraId="20C191F1"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4320tC sequestration maintained</w:t>
            </w:r>
          </w:p>
          <w:p w14:paraId="15F47FC5" w:rsidR="009252F4" w:rsidRPr="009252F4" w:rsidRDefault="009252F4" w:rsidP="009252F4">
            <w:pPr>
              <w:ind w:left="720"/>
              <w:contextualSpacing/>
              <w:rPr>
                <w:rFonts w:ascii="Times New Roman" w:hAnsi="Times New Roman" w:cs="Times New Roman"/>
                <w:sz w:val="20"/>
                <w:szCs w:val="20"/>
              </w:rPr>
            </w:pPr>
          </w:p>
          <w:p w14:paraId="39844B30" w:rsidR="009252F4" w:rsidRPr="009252F4" w:rsidRDefault="009252F4" w:rsidP="009252F4">
            <w:pPr>
              <w:ind w:left="360"/>
              <w:contextualSpacing/>
              <w:rPr>
                <w:rFonts w:ascii="Times New Roman" w:hAnsi="Times New Roman" w:cs="Times New Roman"/>
                <w:sz w:val="20"/>
                <w:szCs w:val="20"/>
              </w:rPr>
            </w:pPr>
          </w:p>
          <w:p w14:paraId="26B30B11" w:rsidR="009252F4" w:rsidRPr="009252F4" w:rsidRDefault="009252F4" w:rsidP="009252F4">
            <w:pPr>
              <w:widowControl w:val="0"/>
              <w:numPr>
                <w:ilvl w:val="0"/>
                <w:numId w:val="51"/>
              </w:numPr>
              <w:kinsoku w:val="0"/>
              <w:overflowPunct w:val="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At least 26066tC sequestration</w:t>
            </w:r>
            <w:r w:rsidRPr="009252F4">
              <w:t xml:space="preserve"> </w:t>
            </w:r>
            <w:r w:rsidRPr="009252F4">
              <w:rPr>
                <w:rFonts w:ascii="Times New Roman" w:hAnsi="Times New Roman" w:cs="Times New Roman"/>
                <w:sz w:val="20"/>
                <w:szCs w:val="20"/>
              </w:rPr>
              <w:t>from avoided deforestation and sustainable planting products</w:t>
            </w:r>
          </w:p>
          <w:p w14:paraId="0DA4EFD5" w:rsidR="009252F4" w:rsidRPr="009252F4" w:rsidRDefault="009252F4" w:rsidP="009252F4">
            <w:pPr>
              <w:rPr>
                <w:rFonts w:ascii="Times New Roman" w:hAnsi="Times New Roman" w:cs="Times New Roman"/>
                <w:sz w:val="20"/>
                <w:szCs w:val="20"/>
              </w:rPr>
            </w:pPr>
          </w:p>
        </w:tc>
        <w:tc>
          <w:tcPr>
            <w:tcW w:w="2250" w:type="dxa"/>
          </w:tcPr>
          <w:p w14:paraId="00B1700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-Tracking Tools</w:t>
            </w:r>
          </w:p>
          <w:p w14:paraId="44835CA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-Technical reports</w:t>
            </w:r>
          </w:p>
          <w:p w14:paraId="02EF271D" w:rsidR="009252F4" w:rsidRPr="009252F4" w:rsidRDefault="009252F4" w:rsidP="009252F4">
            <w:pPr>
              <w:rPr>
                <w:rFonts w:ascii="Times New Roman" w:hAnsi="Times New Roman" w:cs="Times New Roman"/>
                <w:sz w:val="20"/>
                <w:szCs w:val="20"/>
              </w:rPr>
            </w:pPr>
          </w:p>
        </w:tc>
        <w:tc>
          <w:tcPr>
            <w:tcW w:w="2520" w:type="dxa"/>
          </w:tcPr>
          <w:p w14:paraId="4026197A" w:rsidR="009252F4" w:rsidRPr="009252F4" w:rsidRDefault="009252F4" w:rsidP="009252F4">
            <w:pPr>
              <w:rPr>
                <w:rFonts w:ascii="Times New Roman" w:hAnsi="Times New Roman" w:cs="Times New Roman"/>
                <w:b/>
                <w:sz w:val="20"/>
                <w:szCs w:val="20"/>
                <w:u w:val="single"/>
              </w:rPr>
            </w:pPr>
            <w:r w:rsidRPr="009252F4">
              <w:rPr>
                <w:rFonts w:ascii="Times New Roman" w:hAnsi="Times New Roman" w:cs="Times New Roman"/>
                <w:b/>
                <w:sz w:val="20"/>
                <w:szCs w:val="20"/>
                <w:u w:val="single"/>
              </w:rPr>
              <w:t>Assumptions:</w:t>
            </w:r>
          </w:p>
          <w:p w14:paraId="1840BAE0"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 xml:space="preserve">Competent Authorities are consistent with M&amp;E for multiple impacts. </w:t>
            </w:r>
          </w:p>
          <w:p w14:paraId="3FF9A5BB" w:rsidR="009252F4" w:rsidRPr="009252F4" w:rsidRDefault="009252F4" w:rsidP="009252F4">
            <w:pPr>
              <w:rPr>
                <w:rFonts w:ascii="Times New Roman" w:hAnsi="Times New Roman" w:cs="Times New Roman"/>
                <w:sz w:val="20"/>
                <w:szCs w:val="20"/>
              </w:rPr>
            </w:pPr>
          </w:p>
          <w:p w14:paraId="141147FF" w:rsidR="009252F4" w:rsidRPr="009252F4" w:rsidRDefault="009252F4" w:rsidP="009252F4">
            <w:pPr>
              <w:rPr>
                <w:rFonts w:ascii="Times New Roman" w:hAnsi="Times New Roman" w:cs="Times New Roman"/>
                <w:b/>
                <w:sz w:val="20"/>
                <w:szCs w:val="20"/>
              </w:rPr>
            </w:pPr>
            <w:r w:rsidRPr="009252F4">
              <w:rPr>
                <w:rFonts w:ascii="Times New Roman" w:hAnsi="Times New Roman" w:cs="Times New Roman"/>
                <w:b/>
                <w:sz w:val="20"/>
                <w:szCs w:val="20"/>
                <w:u w:val="single"/>
              </w:rPr>
              <w:t>Risks</w:t>
            </w:r>
            <w:r w:rsidRPr="009252F4">
              <w:rPr>
                <w:rFonts w:ascii="Times New Roman" w:hAnsi="Times New Roman" w:cs="Times New Roman"/>
                <w:b/>
                <w:sz w:val="20"/>
                <w:szCs w:val="20"/>
              </w:rPr>
              <w:t>:</w:t>
            </w:r>
          </w:p>
          <w:p w14:paraId="5E6C249D" w:rsidR="009252F4" w:rsidRPr="009252F4" w:rsidRDefault="009252F4" w:rsidP="009252F4">
            <w:pPr>
              <w:rPr>
                <w:rFonts w:ascii="Times New Roman" w:hAnsi="Times New Roman" w:cs="Times New Roman"/>
                <w:sz w:val="20"/>
                <w:szCs w:val="20"/>
              </w:rPr>
            </w:pPr>
            <w:r w:rsidRPr="009252F4">
              <w:rPr>
                <w:rFonts w:ascii="Times New Roman" w:hAnsi="Times New Roman" w:cs="Times New Roman"/>
                <w:sz w:val="20"/>
                <w:szCs w:val="20"/>
              </w:rPr>
              <w:t>Failures in the M&amp;E plan.</w:t>
            </w:r>
          </w:p>
        </w:tc>
      </w:tr>
      <w:tr w14:paraId="4C59139D" w:rsidR="009252F4" w:rsidRPr="009252F4" w:rsidTr="009252F4">
        <w:trPr>
          <w:trHeight w:val="980"/>
        </w:trPr>
        <w:tc>
          <w:tcPr>
            <w:tcW w:w="2070" w:type="dxa"/>
            <w:vMerge/>
          </w:tcPr>
          <w:p w14:paraId="20100DCD" w:rsidR="009252F4" w:rsidRPr="009252F4" w:rsidRDefault="009252F4" w:rsidP="009252F4">
            <w:pPr>
              <w:rPr>
                <w:rFonts w:ascii="Times New Roman" w:hAnsi="Times New Roman" w:cs="Times New Roman"/>
                <w:b/>
                <w:sz w:val="20"/>
                <w:szCs w:val="20"/>
                <w:u w:val="single"/>
              </w:rPr>
            </w:pPr>
          </w:p>
        </w:tc>
        <w:tc>
          <w:tcPr>
            <w:tcW w:w="1980" w:type="dxa"/>
          </w:tcPr>
          <w:p w14:paraId="3480BFB9"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Turbidity</w:t>
            </w:r>
          </w:p>
          <w:p w14:paraId="6F6E8977"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Levels/ sediment buildup at two MPAs downstream of Beausejour</w:t>
            </w:r>
          </w:p>
        </w:tc>
        <w:tc>
          <w:tcPr>
            <w:tcW w:w="2700" w:type="dxa"/>
          </w:tcPr>
          <w:p w14:paraId="671FBBBC"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turbidity index available; TBD within first 6 months of project</w:t>
            </w:r>
          </w:p>
        </w:tc>
        <w:tc>
          <w:tcPr>
            <w:tcW w:w="2970" w:type="dxa"/>
          </w:tcPr>
          <w:p w14:paraId="23C5F441"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15% reduction in turbidity </w:t>
            </w:r>
          </w:p>
          <w:p w14:paraId="02581628" w:rsidR="009252F4" w:rsidRPr="009252F4" w:rsidRDefault="009252F4" w:rsidP="009252F4">
            <w:pPr>
              <w:widowControl w:val="0"/>
              <w:kinsoku w:val="0"/>
              <w:overflowPunct w:val="0"/>
              <w:textAlignment w:val="baseline"/>
              <w:rPr>
                <w:rFonts w:ascii="Times New Roman" w:hAnsi="Times New Roman" w:cs="Times New Roman"/>
                <w:sz w:val="20"/>
                <w:szCs w:val="20"/>
              </w:rPr>
            </w:pPr>
          </w:p>
        </w:tc>
        <w:tc>
          <w:tcPr>
            <w:tcW w:w="2250" w:type="dxa"/>
          </w:tcPr>
          <w:p w14:paraId="280E0D6A"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-Turbidity and soil  accumulation </w:t>
            </w:r>
          </w:p>
          <w:p w14:paraId="51D75F25"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Monitor and measurement protocol.</w:t>
            </w:r>
          </w:p>
          <w:p w14:paraId="09F913F0"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2875CB50"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UN FAO LADA tools.</w:t>
            </w:r>
          </w:p>
        </w:tc>
        <w:tc>
          <w:tcPr>
            <w:tcW w:w="2520" w:type="dxa"/>
          </w:tcPr>
          <w:p w14:paraId="5C5DCA6C" w:rsidR="009252F4" w:rsidRPr="009252F4" w:rsidRDefault="009252F4" w:rsidP="009252F4">
            <w:pPr>
              <w:rPr>
                <w:rFonts w:ascii="Times New Roman" w:hAnsi="Times New Roman" w:cs="Times New Roman"/>
                <w:b/>
                <w:sz w:val="20"/>
                <w:szCs w:val="20"/>
                <w:u w:val="single"/>
              </w:rPr>
            </w:pPr>
          </w:p>
        </w:tc>
      </w:tr>
      <w:tr w14:paraId="1BB1EA0F" w:rsidR="009252F4" w:rsidRPr="009252F4" w:rsidTr="009252F4">
        <w:trPr>
          <w:trHeight w:val="980"/>
        </w:trPr>
        <w:tc>
          <w:tcPr>
            <w:tcW w:w="2070" w:type="dxa"/>
            <w:vMerge/>
          </w:tcPr>
          <w:p w14:paraId="2911BCE6" w:rsidR="009252F4" w:rsidRPr="009252F4" w:rsidRDefault="009252F4" w:rsidP="009252F4">
            <w:pPr>
              <w:rPr>
                <w:rFonts w:ascii="Times New Roman" w:hAnsi="Times New Roman" w:cs="Times New Roman"/>
                <w:b/>
                <w:sz w:val="20"/>
                <w:szCs w:val="20"/>
                <w:u w:val="single"/>
              </w:rPr>
            </w:pPr>
          </w:p>
        </w:tc>
        <w:tc>
          <w:tcPr>
            <w:tcW w:w="1980" w:type="dxa"/>
          </w:tcPr>
          <w:p w14:paraId="487543B8"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Pesticide and fertilizer levels at two MPAs downstream of Beausejour.</w:t>
            </w:r>
          </w:p>
        </w:tc>
        <w:tc>
          <w:tcPr>
            <w:tcW w:w="2700" w:type="dxa"/>
          </w:tcPr>
          <w:p w14:paraId="3134EC5E"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Grand Anse MPA: TBD within the first 6 months of project</w:t>
            </w:r>
          </w:p>
          <w:p w14:paraId="271A9EE2"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Moliniere/ Beausejour MPA: TBD within the first 6 months of project</w:t>
            </w:r>
          </w:p>
        </w:tc>
        <w:tc>
          <w:tcPr>
            <w:tcW w:w="2970" w:type="dxa"/>
          </w:tcPr>
          <w:p w14:paraId="4F480FCC"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Grand Anse MPA: 15% reduction</w:t>
            </w:r>
          </w:p>
          <w:p w14:paraId="154CD269"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3C87C150"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Moliniere/ Beausejour MPA: 15% reduction</w:t>
            </w:r>
          </w:p>
        </w:tc>
        <w:tc>
          <w:tcPr>
            <w:tcW w:w="2250" w:type="dxa"/>
          </w:tcPr>
          <w:p w14:paraId="4D3A1CF3"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Water quality measurement using protocol for Pesticide and fertilizer</w:t>
            </w:r>
          </w:p>
          <w:p w14:paraId="69EE083D"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(Agro-chemicals) in seawater at MPAs</w:t>
            </w:r>
          </w:p>
        </w:tc>
        <w:tc>
          <w:tcPr>
            <w:tcW w:w="2520" w:type="dxa"/>
          </w:tcPr>
          <w:p w14:paraId="0F487710" w:rsidR="009252F4" w:rsidRPr="009252F4" w:rsidRDefault="009252F4" w:rsidP="009252F4">
            <w:pPr>
              <w:rPr>
                <w:rFonts w:ascii="Times New Roman" w:hAnsi="Times New Roman" w:cs="Times New Roman"/>
                <w:b/>
                <w:sz w:val="20"/>
                <w:szCs w:val="20"/>
                <w:u w:val="single"/>
              </w:rPr>
            </w:pPr>
          </w:p>
        </w:tc>
      </w:tr>
      <w:tr w14:paraId="543A777C" w:rsidR="009252F4" w:rsidRPr="009252F4" w:rsidTr="009252F4">
        <w:trPr>
          <w:trHeight w:val="530"/>
        </w:trPr>
        <w:tc>
          <w:tcPr>
            <w:tcW w:w="2070" w:type="dxa"/>
            <w:vMerge/>
          </w:tcPr>
          <w:p w14:paraId="5FDC6397" w:rsidR="009252F4" w:rsidRPr="009252F4" w:rsidRDefault="009252F4" w:rsidP="009252F4">
            <w:pPr>
              <w:rPr>
                <w:rFonts w:ascii="Times New Roman" w:hAnsi="Times New Roman" w:cs="Times New Roman"/>
                <w:b/>
                <w:sz w:val="20"/>
                <w:szCs w:val="20"/>
                <w:u w:val="single"/>
              </w:rPr>
            </w:pPr>
          </w:p>
        </w:tc>
        <w:tc>
          <w:tcPr>
            <w:tcW w:w="1980" w:type="dxa"/>
          </w:tcPr>
          <w:p w14:paraId="773D2D5D"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Application of gender and community-sensitive SLM and SFM practices in 6 communities</w:t>
            </w:r>
            <w:r w:rsidR="002A2AF0">
              <w:rPr>
                <w:rFonts w:ascii="Times New Roman" w:hAnsi="Times New Roman" w:cs="Times New Roman"/>
                <w:sz w:val="20"/>
                <w:szCs w:val="20"/>
              </w:rPr>
              <w:t xml:space="preserve"> </w:t>
            </w:r>
            <w:r w:rsidR="002A2AF0" w:rsidRPr="002A2AF0">
              <w:rPr>
                <w:rFonts w:ascii="Times New Roman" w:hAnsi="Times New Roman" w:cs="Times New Roman"/>
                <w:sz w:val="20"/>
                <w:szCs w:val="20"/>
              </w:rPr>
              <w:t>(Beausejour,  Happy  Hill,  Granville  Vale, New Hampshire,  Annandale  and Vendome)</w:t>
            </w:r>
          </w:p>
        </w:tc>
        <w:tc>
          <w:tcPr>
            <w:tcW w:w="2700" w:type="dxa"/>
          </w:tcPr>
          <w:p w14:paraId="6AB52918"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No ongoing and systematic training:</w:t>
            </w:r>
          </w:p>
          <w:p w14:paraId="78218790"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No agricultural production program implemented within the watershed.</w:t>
            </w:r>
          </w:p>
          <w:p w14:paraId="37BCB94E"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No rangeland management program implemented within the watershed.</w:t>
            </w:r>
          </w:p>
          <w:p w14:paraId="3C812698"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No forest management program implemented within the watershed.</w:t>
            </w:r>
          </w:p>
        </w:tc>
        <w:tc>
          <w:tcPr>
            <w:tcW w:w="2970" w:type="dxa"/>
          </w:tcPr>
          <w:p w14:paraId="4C899994"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 xml:space="preserve">6 villages trained in alternative livelihoods related to BD, SFM/SLM, and CC issues: </w:t>
            </w:r>
          </w:p>
          <w:p w14:paraId="2416AF1B"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A sustainable agricultural biodiversity program implemented by Year 3</w:t>
            </w:r>
          </w:p>
          <w:p w14:paraId="4581558A"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A sustainable rangeland management program implemented by Year 3</w:t>
            </w:r>
          </w:p>
          <w:p w14:paraId="6C891C06"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SFM program involving forest enrichment with agro-forest species so as to ensure SLM/SFM practices applied by Year 3</w:t>
            </w:r>
          </w:p>
        </w:tc>
        <w:tc>
          <w:tcPr>
            <w:tcW w:w="2250" w:type="dxa"/>
          </w:tcPr>
          <w:p w14:paraId="3EE92CEF"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Landscape management plans in place</w:t>
            </w:r>
          </w:p>
          <w:p w14:paraId="4DAF1599"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Technical reports</w:t>
            </w:r>
          </w:p>
          <w:p w14:paraId="6A854F7C"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Field verification notes </w:t>
            </w:r>
          </w:p>
          <w:p w14:paraId="0F791D49"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Tracking Tools</w:t>
            </w:r>
          </w:p>
          <w:p w14:paraId="3D4B7061"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Capacity Development scorecard</w:t>
            </w:r>
          </w:p>
        </w:tc>
        <w:tc>
          <w:tcPr>
            <w:tcW w:w="2520" w:type="dxa"/>
          </w:tcPr>
          <w:p w14:paraId="4B3BF196" w:rsidR="009252F4" w:rsidRPr="009252F4" w:rsidRDefault="009252F4" w:rsidP="009252F4">
            <w:pPr>
              <w:spacing w:before="120" w:after="120"/>
              <w:rPr>
                <w:rFonts w:ascii="Times New Roman" w:hAnsi="Times New Roman" w:cs="Times New Roman"/>
                <w:b/>
                <w:sz w:val="20"/>
                <w:szCs w:val="20"/>
                <w:u w:val="single"/>
              </w:rPr>
            </w:pPr>
            <w:r w:rsidRPr="009252F4">
              <w:rPr>
                <w:rFonts w:ascii="Times New Roman" w:hAnsi="Times New Roman" w:cs="Times New Roman"/>
                <w:b/>
                <w:sz w:val="20"/>
                <w:szCs w:val="20"/>
                <w:u w:val="single"/>
              </w:rPr>
              <w:t>Assumptions:</w:t>
            </w:r>
          </w:p>
          <w:p w14:paraId="4F4E987B"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Optimal uptake by farmers and land owners.</w:t>
            </w:r>
          </w:p>
          <w:p w14:paraId="1A611DAF"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Innovative alternatives accepted to replace bamboo as a tool to avoid land slippage.</w:t>
            </w:r>
          </w:p>
          <w:p w14:paraId="4EEA32CB"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Due recognition of gender equity is emphasized within all delivery systems</w:t>
            </w:r>
          </w:p>
          <w:p w14:paraId="0BFB6BD5" w:rsidR="009252F4" w:rsidRPr="009252F4" w:rsidRDefault="009252F4" w:rsidP="009252F4">
            <w:pPr>
              <w:spacing w:before="120" w:after="120"/>
              <w:rPr>
                <w:rFonts w:ascii="Times New Roman" w:hAnsi="Times New Roman" w:cs="Times New Roman"/>
                <w:sz w:val="20"/>
                <w:szCs w:val="20"/>
              </w:rPr>
            </w:pPr>
          </w:p>
        </w:tc>
      </w:tr>
      <w:tr w14:paraId="110E7FE0" w:rsidR="009252F4" w:rsidRPr="009252F4" w:rsidTr="009252F4">
        <w:trPr>
          <w:trHeight w:val="980"/>
        </w:trPr>
        <w:tc>
          <w:tcPr>
            <w:tcW w:w="2070" w:type="dxa"/>
            <w:vMerge/>
          </w:tcPr>
          <w:p w14:paraId="4A5540A4" w:rsidR="009252F4" w:rsidRPr="009252F4" w:rsidRDefault="009252F4" w:rsidP="009252F4">
            <w:pPr>
              <w:rPr>
                <w:rFonts w:ascii="Times New Roman" w:hAnsi="Times New Roman" w:cs="Times New Roman"/>
                <w:b/>
                <w:sz w:val="20"/>
                <w:szCs w:val="20"/>
                <w:u w:val="single"/>
              </w:rPr>
            </w:pPr>
          </w:p>
        </w:tc>
        <w:tc>
          <w:tcPr>
            <w:tcW w:w="1980" w:type="dxa"/>
          </w:tcPr>
          <w:p w14:paraId="71F305C5"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Impact of Soil erosion/stability on household incomes of famers within the Beausejour watershed </w:t>
            </w:r>
          </w:p>
        </w:tc>
        <w:tc>
          <w:tcPr>
            <w:tcW w:w="2700" w:type="dxa"/>
          </w:tcPr>
          <w:p w14:paraId="579FB319"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existing estimates of soil loss or land soil accumulation levels available. TBD within first 6 months of project</w:t>
            </w:r>
          </w:p>
          <w:p w14:paraId="7C0E18F4"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51BA3ABE"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statistics on farmer income available</w:t>
            </w:r>
            <w:r w:rsidR="00F77D88">
              <w:rPr>
                <w:rStyle w:val="FootnoteReference"/>
                <w:rFonts w:ascii="Times New Roman" w:hAnsi="Times New Roman" w:cs="Times New Roman"/>
                <w:sz w:val="20"/>
                <w:szCs w:val="20"/>
              </w:rPr>
              <w:footnoteReference w:id="23"/>
            </w:r>
            <w:r w:rsidRPr="009252F4">
              <w:rPr>
                <w:rFonts w:ascii="Times New Roman" w:hAnsi="Times New Roman" w:cs="Times New Roman"/>
                <w:sz w:val="20"/>
                <w:szCs w:val="20"/>
              </w:rPr>
              <w:t>. Initial survey to establish baseline to be conducted during Year 1</w:t>
            </w:r>
          </w:p>
        </w:tc>
        <w:tc>
          <w:tcPr>
            <w:tcW w:w="2970" w:type="dxa"/>
          </w:tcPr>
          <w:p w14:paraId="190B7A98"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15% reduction of soil loss</w:t>
            </w:r>
          </w:p>
          <w:p w14:paraId="48F8AB13"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2AACD352"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578986AE"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113207AA"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626B0B5F"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25% increase in weekly income per farmer.</w:t>
            </w:r>
          </w:p>
        </w:tc>
        <w:tc>
          <w:tcPr>
            <w:tcW w:w="2250" w:type="dxa"/>
          </w:tcPr>
          <w:p w14:paraId="10C796BD"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Field  inspections/</w:t>
            </w:r>
            <w:r w:rsidRPr="009252F4">
              <w:rPr>
                <w:rFonts w:ascii="Times New Roman" w:hAnsi="Times New Roman" w:cs="Times New Roman"/>
                <w:sz w:val="24"/>
                <w:szCs w:val="24"/>
              </w:rPr>
              <w:t xml:space="preserve"> </w:t>
            </w:r>
            <w:r w:rsidRPr="009252F4">
              <w:rPr>
                <w:rFonts w:ascii="Times New Roman" w:hAnsi="Times New Roman" w:cs="Times New Roman"/>
                <w:sz w:val="20"/>
                <w:szCs w:val="20"/>
              </w:rPr>
              <w:t>UNFAO-LADA tools:</w:t>
            </w:r>
          </w:p>
          <w:p w14:paraId="6046483C"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-sediment traps</w:t>
            </w:r>
          </w:p>
          <w:p w14:paraId="0F9225E0"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-Soil Accumulation measurements</w:t>
            </w:r>
          </w:p>
          <w:p w14:paraId="6FE28E5E"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-Suspended sediments </w:t>
            </w:r>
          </w:p>
          <w:p w14:paraId="3910CB28"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-Comparative household surveys of farming communities (RAS method)</w:t>
            </w:r>
          </w:p>
        </w:tc>
        <w:tc>
          <w:tcPr>
            <w:tcW w:w="2520" w:type="dxa"/>
          </w:tcPr>
          <w:p w14:paraId="0A368E97" w:rsidR="009252F4" w:rsidRPr="009252F4" w:rsidRDefault="009252F4" w:rsidP="009252F4">
            <w:pPr>
              <w:widowControl w:val="0"/>
              <w:kinsoku w:val="0"/>
              <w:overflowPunct w:val="0"/>
              <w:textAlignment w:val="baseline"/>
              <w:rPr>
                <w:rFonts w:ascii="Times New Roman" w:hAnsi="Times New Roman" w:cs="Times New Roman"/>
                <w:b/>
                <w:sz w:val="20"/>
                <w:szCs w:val="20"/>
                <w:u w:val="single"/>
              </w:rPr>
            </w:pPr>
            <w:r w:rsidRPr="009252F4">
              <w:rPr>
                <w:rFonts w:ascii="Times New Roman" w:hAnsi="Times New Roman" w:cs="Times New Roman"/>
                <w:b/>
                <w:sz w:val="20"/>
                <w:szCs w:val="20"/>
                <w:u w:val="single"/>
              </w:rPr>
              <w:t>Assumptions:</w:t>
            </w:r>
          </w:p>
          <w:p w14:paraId="7051541B"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No serious CC impacts</w:t>
            </w:r>
          </w:p>
          <w:p w14:paraId="1556388D" w:rsidR="009252F4" w:rsidRPr="009252F4" w:rsidRDefault="009252F4" w:rsidP="009252F4">
            <w:pPr>
              <w:widowControl w:val="0"/>
              <w:kinsoku w:val="0"/>
              <w:overflowPunct w:val="0"/>
              <w:textAlignment w:val="baseline"/>
              <w:rPr>
                <w:rFonts w:ascii="Times New Roman" w:hAnsi="Times New Roman" w:cs="Times New Roman"/>
                <w:sz w:val="20"/>
                <w:szCs w:val="20"/>
              </w:rPr>
            </w:pPr>
          </w:p>
          <w:p w14:paraId="3D6F7A5B"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Farmers uptake of initiates to enhance profitability of their farms</w:t>
            </w:r>
          </w:p>
          <w:p w14:paraId="045F1C35" w:rsidR="009252F4" w:rsidRPr="009252F4" w:rsidRDefault="009252F4" w:rsidP="009252F4">
            <w:pPr>
              <w:widowControl w:val="0"/>
              <w:kinsoku w:val="0"/>
              <w:overflowPunct w:val="0"/>
              <w:textAlignment w:val="baseline"/>
              <w:rPr>
                <w:rFonts w:ascii="Times New Roman" w:hAnsi="Times New Roman" w:cs="Times New Roman"/>
                <w:b/>
                <w:sz w:val="20"/>
                <w:szCs w:val="20"/>
                <w:u w:val="single"/>
              </w:rPr>
            </w:pPr>
            <w:r w:rsidRPr="009252F4">
              <w:rPr>
                <w:rFonts w:ascii="Times New Roman" w:hAnsi="Times New Roman" w:cs="Times New Roman"/>
                <w:b/>
                <w:sz w:val="20"/>
                <w:szCs w:val="20"/>
                <w:u w:val="single"/>
              </w:rPr>
              <w:t>Risk:</w:t>
            </w:r>
          </w:p>
          <w:p w14:paraId="16DC74E2"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Lack of cooperation by farmers.</w:t>
            </w:r>
          </w:p>
          <w:p w14:paraId="2F28CE08" w:rsidR="009252F4" w:rsidRPr="009252F4" w:rsidRDefault="009252F4" w:rsidP="009252F4">
            <w:pPr>
              <w:widowControl w:val="0"/>
              <w:kinsoku w:val="0"/>
              <w:overflowPunct w:val="0"/>
              <w:textAlignment w:val="baseline"/>
              <w:rPr>
                <w:rFonts w:ascii="Times New Roman" w:hAnsi="Times New Roman" w:cs="Times New Roman"/>
                <w:sz w:val="20"/>
                <w:szCs w:val="20"/>
              </w:rPr>
            </w:pPr>
            <w:r w:rsidRPr="009252F4">
              <w:rPr>
                <w:rFonts w:ascii="Times New Roman" w:hAnsi="Times New Roman" w:cs="Times New Roman"/>
                <w:sz w:val="20"/>
                <w:szCs w:val="20"/>
              </w:rPr>
              <w:t>Private profitability is not highlighted sufficiently.</w:t>
            </w:r>
          </w:p>
        </w:tc>
      </w:tr>
      <w:tr w14:paraId="6A288FF6" w:rsidR="009252F4" w:rsidRPr="009252F4" w:rsidTr="009252F4">
        <w:trPr>
          <w:trHeight w:val="980"/>
        </w:trPr>
        <w:tc>
          <w:tcPr>
            <w:tcW w:w="2070" w:type="dxa"/>
            <w:vMerge/>
          </w:tcPr>
          <w:p w14:paraId="7AC62E1E" w:rsidR="009252F4" w:rsidRPr="009252F4" w:rsidRDefault="009252F4" w:rsidP="009252F4">
            <w:pPr>
              <w:rPr>
                <w:rFonts w:ascii="Times New Roman" w:hAnsi="Times New Roman" w:cs="Times New Roman"/>
                <w:b/>
                <w:sz w:val="20"/>
                <w:szCs w:val="20"/>
                <w:u w:val="single"/>
              </w:rPr>
            </w:pPr>
          </w:p>
        </w:tc>
        <w:tc>
          <w:tcPr>
            <w:tcW w:w="1980" w:type="dxa"/>
          </w:tcPr>
          <w:p w14:paraId="46AF9CE1"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Education and awareness levels</w:t>
            </w:r>
          </w:p>
        </w:tc>
        <w:tc>
          <w:tcPr>
            <w:tcW w:w="2700" w:type="dxa"/>
          </w:tcPr>
          <w:p w14:paraId="17A18199" w:rsidR="009252F4" w:rsidRPr="009252F4" w:rsidRDefault="009252F4" w:rsidP="009252F4">
            <w:pPr>
              <w:widowControl w:val="0"/>
              <w:numPr>
                <w:ilvl w:val="0"/>
                <w:numId w:val="74"/>
              </w:numPr>
              <w:kinsoku w:val="0"/>
              <w:overflowPunct w:val="0"/>
              <w:spacing w:before="120" w:after="12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No education and awareness program </w:t>
            </w:r>
          </w:p>
          <w:p w14:paraId="11FC9F6B" w:rsidR="009252F4" w:rsidRPr="009252F4" w:rsidRDefault="009252F4" w:rsidP="009252F4">
            <w:pPr>
              <w:spacing w:before="120" w:after="120"/>
              <w:contextualSpacing/>
              <w:rPr>
                <w:rFonts w:ascii="Times New Roman" w:hAnsi="Times New Roman" w:cs="Times New Roman"/>
                <w:sz w:val="20"/>
                <w:szCs w:val="20"/>
              </w:rPr>
            </w:pPr>
          </w:p>
        </w:tc>
        <w:tc>
          <w:tcPr>
            <w:tcW w:w="2970" w:type="dxa"/>
          </w:tcPr>
          <w:p w14:paraId="4A10E0D2" w:rsidR="009252F4" w:rsidRPr="009252F4" w:rsidRDefault="009252F4" w:rsidP="009252F4">
            <w:pPr>
              <w:widowControl w:val="0"/>
              <w:numPr>
                <w:ilvl w:val="0"/>
                <w:numId w:val="74"/>
              </w:numPr>
              <w:kinsoku w:val="0"/>
              <w:overflowPunct w:val="0"/>
              <w:spacing w:before="120" w:after="120"/>
              <w:contextualSpacing/>
              <w:textAlignment w:val="baseline"/>
              <w:rPr>
                <w:rFonts w:ascii="Times New Roman" w:hAnsi="Times New Roman" w:cs="Times New Roman"/>
                <w:sz w:val="20"/>
                <w:szCs w:val="20"/>
              </w:rPr>
            </w:pPr>
            <w:r w:rsidRPr="009252F4">
              <w:rPr>
                <w:rFonts w:ascii="Times New Roman" w:hAnsi="Times New Roman" w:cs="Times New Roman"/>
                <w:sz w:val="20"/>
                <w:szCs w:val="20"/>
              </w:rPr>
              <w:t xml:space="preserve">Public awareness campaign developed and implemented </w:t>
            </w:r>
          </w:p>
          <w:p w14:paraId="6D3928D4" w:rsidR="009252F4" w:rsidRPr="009252F4" w:rsidRDefault="009252F4" w:rsidP="009252F4">
            <w:pPr>
              <w:spacing w:before="120" w:after="120"/>
              <w:contextualSpacing/>
              <w:rPr>
                <w:rFonts w:ascii="Times New Roman" w:hAnsi="Times New Roman" w:cs="Times New Roman"/>
                <w:sz w:val="20"/>
                <w:szCs w:val="20"/>
              </w:rPr>
            </w:pPr>
          </w:p>
        </w:tc>
        <w:tc>
          <w:tcPr>
            <w:tcW w:w="2250" w:type="dxa"/>
          </w:tcPr>
          <w:p w14:paraId="32D8FF44"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Project records</w:t>
            </w:r>
          </w:p>
          <w:p w14:paraId="1B03D572"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Farmer/landowner engagement records</w:t>
            </w:r>
          </w:p>
          <w:p w14:paraId="034D0B3B" w:rsidR="009252F4" w:rsidRPr="009252F4" w:rsidRDefault="009252F4" w:rsidP="009252F4">
            <w:pPr>
              <w:widowControl w:val="0"/>
              <w:numPr>
                <w:ilvl w:val="0"/>
                <w:numId w:val="51"/>
              </w:numPr>
              <w:kinsoku w:val="0"/>
              <w:overflowPunct w:val="0"/>
              <w:spacing w:before="120" w:after="120"/>
              <w:textAlignment w:val="baseline"/>
              <w:rPr>
                <w:rFonts w:ascii="Times New Roman" w:hAnsi="Times New Roman" w:cs="Times New Roman"/>
                <w:sz w:val="20"/>
                <w:szCs w:val="20"/>
              </w:rPr>
            </w:pPr>
            <w:r w:rsidRPr="009252F4">
              <w:rPr>
                <w:rFonts w:ascii="Times New Roman" w:hAnsi="Times New Roman" w:cs="Times New Roman"/>
                <w:sz w:val="20"/>
                <w:szCs w:val="20"/>
              </w:rPr>
              <w:t>Tracking Tools</w:t>
            </w:r>
          </w:p>
        </w:tc>
        <w:tc>
          <w:tcPr>
            <w:tcW w:w="2520" w:type="dxa"/>
          </w:tcPr>
          <w:p w14:paraId="432BF79C" w:rsidR="009252F4" w:rsidRPr="009252F4" w:rsidRDefault="009252F4" w:rsidP="009252F4">
            <w:pPr>
              <w:spacing w:before="120" w:after="120"/>
              <w:rPr>
                <w:rFonts w:ascii="Times New Roman" w:hAnsi="Times New Roman" w:cs="Times New Roman"/>
                <w:b/>
                <w:sz w:val="20"/>
                <w:szCs w:val="20"/>
                <w:u w:val="single"/>
              </w:rPr>
            </w:pPr>
            <w:r w:rsidRPr="009252F4">
              <w:rPr>
                <w:rFonts w:ascii="Times New Roman" w:hAnsi="Times New Roman" w:cs="Times New Roman"/>
                <w:b/>
                <w:sz w:val="20"/>
                <w:szCs w:val="20"/>
                <w:u w:val="single"/>
              </w:rPr>
              <w:t xml:space="preserve">Assumptions: </w:t>
            </w:r>
          </w:p>
          <w:p w14:paraId="158722F3"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Emphasis on community-wide education and awareness.</w:t>
            </w:r>
          </w:p>
          <w:p w14:paraId="054A2798" w:rsidR="009252F4" w:rsidRPr="009252F4" w:rsidRDefault="009252F4" w:rsidP="009252F4">
            <w:pPr>
              <w:spacing w:before="120" w:after="120"/>
              <w:rPr>
                <w:rFonts w:ascii="Times New Roman" w:hAnsi="Times New Roman" w:cs="Times New Roman"/>
                <w:sz w:val="20"/>
                <w:szCs w:val="20"/>
              </w:rPr>
            </w:pPr>
            <w:r w:rsidRPr="009252F4">
              <w:rPr>
                <w:rFonts w:ascii="Times New Roman" w:hAnsi="Times New Roman" w:cs="Times New Roman"/>
                <w:sz w:val="20"/>
                <w:szCs w:val="20"/>
              </w:rPr>
              <w:t>Due recognition of gender equity is emphasized within all delivery systems</w:t>
            </w:r>
          </w:p>
        </w:tc>
      </w:tr>
      <w:tr w14:paraId="131575FF" w:rsidR="009252F4" w:rsidRPr="009252F4" w:rsidTr="009252F4">
        <w:trPr>
          <w:trHeight w:val="980"/>
        </w:trPr>
        <w:tc>
          <w:tcPr>
            <w:tcW w:w="14490" w:type="dxa"/>
            <w:gridSpan w:val="6"/>
          </w:tcPr>
          <w:p w14:paraId="7C136E9B" w:rsidR="009252F4" w:rsidRPr="009252F4" w:rsidRDefault="009252F4" w:rsidP="009252F4">
            <w:pPr>
              <w:jc w:val="both"/>
              <w:rPr>
                <w:rFonts w:ascii="Times New Roman" w:hAnsi="Times New Roman" w:cs="Times New Roman"/>
                <w:b/>
              </w:rPr>
            </w:pPr>
            <w:r w:rsidRPr="009252F4">
              <w:rPr>
                <w:rFonts w:ascii="Times New Roman" w:hAnsi="Times New Roman" w:cs="Times New Roman"/>
                <w:b/>
              </w:rPr>
              <w:t>Outputs:</w:t>
            </w:r>
          </w:p>
          <w:p w14:paraId="66027E8F" w:rsidR="009252F4" w:rsidRPr="009252F4" w:rsidRDefault="009252F4" w:rsidP="009252F4">
            <w:pPr>
              <w:ind w:left="720" w:hanging="720"/>
              <w:jc w:val="both"/>
              <w:rPr>
                <w:rFonts w:ascii="Times New Roman" w:hAnsi="Times New Roman" w:cs="Times New Roman"/>
              </w:rPr>
            </w:pPr>
            <w:bookmarkStart w:id="45" w:name="OLE_LINK6"/>
            <w:bookmarkStart w:id="46" w:name="OLE_LINK7"/>
            <w:bookmarkStart w:id="47" w:name="OLE_LINK8"/>
            <w:r w:rsidRPr="009252F4">
              <w:rPr>
                <w:rFonts w:ascii="Times New Roman" w:hAnsi="Times New Roman" w:cs="Times New Roman"/>
              </w:rPr>
              <w:t xml:space="preserve">2.1     </w:t>
            </w:r>
            <w:r w:rsidRPr="009252F4">
              <w:rPr>
                <w:rFonts w:ascii="Times New Roman" w:hAnsi="Times New Roman" w:cs="Times New Roman"/>
                <w:u w:val="single"/>
              </w:rPr>
              <w:t xml:space="preserve">Strengthened planning and management framework, capacities and awareness </w:t>
            </w:r>
            <w:bookmarkEnd w:id="45"/>
            <w:bookmarkEnd w:id="46"/>
            <w:bookmarkEnd w:id="47"/>
            <w:r w:rsidRPr="009252F4">
              <w:rPr>
                <w:rFonts w:ascii="Times New Roman" w:hAnsi="Times New Roman" w:cs="Times New Roman"/>
                <w:u w:val="single"/>
              </w:rPr>
              <w:t>for participatory sustainable resource management</w:t>
            </w:r>
            <w:r w:rsidRPr="009252F4">
              <w:rPr>
                <w:rFonts w:ascii="Times New Roman" w:hAnsi="Times New Roman" w:cs="Times New Roman"/>
              </w:rPr>
              <w:t>.</w:t>
            </w:r>
          </w:p>
          <w:p w14:paraId="2375AC00" w:rsidR="009252F4" w:rsidRPr="009252F4" w:rsidRDefault="009252F4" w:rsidP="009252F4">
            <w:pPr>
              <w:ind w:left="720" w:hanging="720"/>
              <w:jc w:val="both"/>
              <w:rPr>
                <w:rFonts w:ascii="Times New Roman" w:hAnsi="Times New Roman" w:cs="Times New Roman"/>
                <w:b/>
                <w:sz w:val="20"/>
                <w:szCs w:val="20"/>
                <w:u w:val="single"/>
              </w:rPr>
            </w:pPr>
            <w:r w:rsidRPr="009252F4">
              <w:rPr>
                <w:rFonts w:ascii="Times New Roman" w:hAnsi="Times New Roman" w:cs="Times New Roman"/>
              </w:rPr>
              <w:t xml:space="preserve">2.2     </w:t>
            </w:r>
            <w:r w:rsidRPr="009252F4">
              <w:rPr>
                <w:rFonts w:ascii="Times New Roman" w:hAnsi="Times New Roman" w:cs="Times New Roman"/>
                <w:u w:val="single"/>
              </w:rPr>
              <w:t>Improved SLM and SFM practices in 6 communities resulting in reduced deforestation and land and forest degradation in the landscapes surrounding PAs</w:t>
            </w:r>
            <w:r w:rsidRPr="009252F4">
              <w:rPr>
                <w:rFonts w:ascii="Times New Roman" w:hAnsi="Times New Roman" w:cs="Times New Roman"/>
              </w:rPr>
              <w:t xml:space="preserve"> involving: sustainable agricultural production initiatives to conserve and enrich soil and water management; enhanced capacity of farmers and farm organizations and to improve product quality and  marketing; sustainable rangeland management initiative for community-based control of overgrazing that impacts on landscape and seascape quality; sustainable forest management initiative that uses agro-forests species to enrich and rehabilitate deforested landscapes.</w:t>
            </w:r>
          </w:p>
        </w:tc>
      </w:tr>
    </w:tbl>
    <w:p w14:paraId="0390EE81" w:rsidR="009A165B" w:rsidRPr="009A165B" w:rsidRDefault="009A165B" w:rsidP="009A165B">
      <w:pPr>
        <w:spacing w:after="0" w:line="240" w:lineRule="auto"/>
        <w:rPr>
          <w:rFonts w:ascii="Times New Roman" w:eastAsia="Times New Roman" w:hAnsi="Times New Roman" w:cs="Times New Roman"/>
        </w:rPr>
      </w:pPr>
    </w:p>
    <w:p w14:paraId="7969DBC8" w:rsidR="009A165B" w:rsidRPr="009A165B" w:rsidRDefault="009A165B" w:rsidP="009A165B">
      <w:pPr>
        <w:spacing w:line="240" w:lineRule="auto"/>
        <w:rPr>
          <w:rFonts w:ascii="Times New Roman" w:eastAsiaTheme="minorHAnsi" w:hAnsi="Times New Roman" w:cs="Times New Roman"/>
          <w:color w:val="7030A0"/>
          <w:sz w:val="20"/>
          <w:szCs w:val="20"/>
        </w:rPr>
      </w:pPr>
    </w:p>
    <w:p w14:paraId="6DF7CEDB" w:rsidR="009A165B" w:rsidRPr="009A165B" w:rsidRDefault="009A165B" w:rsidP="009A165B">
      <w:pPr>
        <w:spacing w:line="240" w:lineRule="auto"/>
        <w:rPr>
          <w:rFonts w:ascii="Times New Roman" w:eastAsiaTheme="minorHAnsi" w:hAnsi="Times New Roman" w:cs="Times New Roman"/>
          <w:b/>
          <w:color w:val="7030A0"/>
          <w:sz w:val="20"/>
          <w:szCs w:val="20"/>
        </w:rPr>
      </w:pPr>
    </w:p>
    <w:p w14:paraId="5B57145C" w:rsidR="009A165B" w:rsidRPr="009A165B" w:rsidRDefault="009A165B" w:rsidP="009A165B">
      <w:pPr>
        <w:rPr>
          <w:rFonts w:ascii="Times New Roman" w:hAnsi="Times New Roman" w:cs="Times New Roman"/>
        </w:rPr>
      </w:pPr>
    </w:p>
    <w:p w14:paraId="5C7E218F" w:rsidR="009A165B" w:rsidRPr="009A165B" w:rsidRDefault="009A165B" w:rsidP="009A165B">
      <w:pPr>
        <w:rPr>
          <w:rFonts w:ascii="Times New Roman" w:hAnsi="Times New Roman" w:cs="Times New Roman"/>
        </w:rPr>
      </w:pPr>
    </w:p>
    <w:p w14:paraId="3CE77EDC" w:rsidR="00F165D0" w:rsidRPr="00685F50" w:rsidRDefault="00F165D0" w:rsidP="00F165D0">
      <w:pPr>
        <w:rPr>
          <w:rFonts w:eastAsiaTheme="minorHAnsi"/>
        </w:rPr>
      </w:pPr>
    </w:p>
    <w:p w14:paraId="0A3F0740" w:rsidR="00F165D0" w:rsidRDefault="00F165D0" w:rsidP="009A165B">
      <w:pPr>
        <w:framePr w:w="14760" w:wrap="auto" w:hAnchor="text" w:x="900"/>
        <w:rPr>
          <w:rFonts w:ascii="Times New Roman" w:hAnsi="Times New Roman" w:cs="Times New Roman"/>
        </w:rPr>
        <w:sectPr w:rsidR="00F165D0" w:rsidSect="008E5A15">
          <w:headerReference w:type="default" r:id="rId20"/>
          <w:pgSz w:w="15840" w:h="12240" w:orient="landscape"/>
          <w:pgMar w:top="990" w:right="1440" w:bottom="1440" w:left="1440" w:header="432" w:footer="432" w:gutter="0"/>
          <w:cols w:space="720"/>
          <w:docGrid w:linePitch="360"/>
        </w:sectPr>
      </w:pPr>
    </w:p>
    <w:tbl>
      <w:tblPr>
        <w:tblpPr w:leftFromText="180" w:rightFromText="180" w:vertAnchor="page" w:horzAnchor="margin" w:tblpXSpec="center" w:tblpY="1107"/>
        <w:tblW w:w="14992" w:type="dxa"/>
        <w:tblLayout w:type="fixed"/>
        <w:tblLook w:val="04A0" w:firstRow="1" w:lastRow="0" w:firstColumn="1" w:lastColumn="0" w:noHBand="0" w:noVBand="1"/>
      </w:tblPr>
      <w:tblGrid>
        <w:gridCol w:w="2070"/>
        <w:gridCol w:w="7796"/>
        <w:gridCol w:w="3724"/>
        <w:gridCol w:w="1402"/>
      </w:tblGrid>
      <w:tr w14:paraId="7FE6F768" w:rsidR="00F165D0" w:rsidRPr="00DC4545" w:rsidTr="005A4D67">
        <w:trPr>
          <w:trHeight w:val="300"/>
        </w:trPr>
        <w:tc>
          <w:tcPr>
            <w:tcW w:w="149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E202" w:rsidR="00F165D0" w:rsidRPr="00DC4545" w:rsidRDefault="00F165D0" w:rsidP="0042567A">
            <w:pPr>
              <w:pStyle w:val="Heading1"/>
              <w:rPr>
                <w:rFonts w:eastAsia="Times New Roman"/>
              </w:rPr>
            </w:pPr>
            <w:bookmarkStart w:id="48" w:name="_Toc389820975"/>
            <w:r w:rsidRPr="006E07EC">
              <w:rPr>
                <w:rFonts w:eastAsia="Times New Roman"/>
              </w:rPr>
              <w:t>SECTION III. TOTAL BUDGET AND WORK PLAN</w:t>
            </w:r>
            <w:bookmarkEnd w:id="48"/>
            <w:r w:rsidRPr="00DC4545">
              <w:rPr>
                <w:rFonts w:eastAsia="Times New Roman"/>
              </w:rPr>
              <w:t> </w:t>
            </w:r>
          </w:p>
        </w:tc>
      </w:tr>
      <w:tr w14:paraId="122B266E" w:rsidR="00F165D0" w:rsidRPr="00DC4545" w:rsidTr="005A4D67">
        <w:trPr>
          <w:trHeight w:val="30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51809E4"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AWARD ID</w:t>
            </w:r>
          </w:p>
        </w:tc>
        <w:tc>
          <w:tcPr>
            <w:tcW w:w="7796" w:type="dxa"/>
            <w:tcBorders>
              <w:top w:val="nil"/>
              <w:left w:val="nil"/>
              <w:bottom w:val="single" w:sz="4" w:space="0" w:color="auto"/>
              <w:right w:val="single" w:sz="4" w:space="0" w:color="auto"/>
            </w:tcBorders>
            <w:shd w:val="clear" w:color="auto" w:fill="auto"/>
            <w:noWrap/>
            <w:vAlign w:val="bottom"/>
            <w:hideMark/>
          </w:tcPr>
          <w:p w14:paraId="2A0FC993"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5069</w:t>
            </w:r>
          </w:p>
        </w:tc>
        <w:tc>
          <w:tcPr>
            <w:tcW w:w="3724" w:type="dxa"/>
            <w:tcBorders>
              <w:top w:val="nil"/>
              <w:left w:val="nil"/>
              <w:bottom w:val="single" w:sz="4" w:space="0" w:color="auto"/>
              <w:right w:val="single" w:sz="4" w:space="0" w:color="auto"/>
            </w:tcBorders>
            <w:shd w:val="clear" w:color="auto" w:fill="auto"/>
            <w:vAlign w:val="bottom"/>
            <w:hideMark/>
          </w:tcPr>
          <w:p w14:paraId="3993FA3E"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PROJECT ID</w:t>
            </w:r>
          </w:p>
        </w:tc>
        <w:tc>
          <w:tcPr>
            <w:tcW w:w="1402" w:type="dxa"/>
            <w:tcBorders>
              <w:top w:val="nil"/>
              <w:left w:val="nil"/>
              <w:bottom w:val="single" w:sz="4" w:space="0" w:color="auto"/>
              <w:right w:val="single" w:sz="4" w:space="0" w:color="auto"/>
            </w:tcBorders>
            <w:shd w:val="clear" w:color="auto" w:fill="auto"/>
            <w:noWrap/>
            <w:vAlign w:val="bottom"/>
            <w:hideMark/>
          </w:tcPr>
          <w:p w14:paraId="4E8BF179"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5087</w:t>
            </w:r>
          </w:p>
        </w:tc>
      </w:tr>
      <w:tr w14:paraId="0CAF63AB" w:rsidR="00F165D0" w:rsidRPr="00DC4545" w:rsidTr="005A4D67">
        <w:trPr>
          <w:trHeight w:val="4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3378CBC2"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AWARD TITLE</w:t>
            </w:r>
          </w:p>
        </w:tc>
        <w:tc>
          <w:tcPr>
            <w:tcW w:w="12922" w:type="dxa"/>
            <w:gridSpan w:val="3"/>
            <w:tcBorders>
              <w:top w:val="nil"/>
              <w:left w:val="nil"/>
              <w:bottom w:val="single" w:sz="4" w:space="0" w:color="auto"/>
              <w:right w:val="single" w:sz="4" w:space="0" w:color="auto"/>
            </w:tcBorders>
            <w:shd w:val="clear" w:color="auto" w:fill="auto"/>
            <w:noWrap/>
            <w:vAlign w:val="bottom"/>
            <w:hideMark/>
          </w:tcPr>
          <w:p w14:paraId="42CA37BD"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GRENADA: Ridge to Reef approach for protecting biodiversity and ecosystems functions within and around protected area </w:t>
            </w:r>
          </w:p>
        </w:tc>
      </w:tr>
      <w:tr w14:paraId="6D772322" w:rsidR="00F165D0" w:rsidRPr="00DC4545" w:rsidTr="005A4D67">
        <w:trPr>
          <w:trHeight w:val="300"/>
        </w:trPr>
        <w:tc>
          <w:tcPr>
            <w:tcW w:w="14992" w:type="dxa"/>
            <w:gridSpan w:val="4"/>
            <w:tcBorders>
              <w:top w:val="nil"/>
              <w:left w:val="single" w:sz="4" w:space="0" w:color="auto"/>
              <w:bottom w:val="single" w:sz="4" w:space="0" w:color="auto"/>
              <w:right w:val="single" w:sz="4" w:space="0" w:color="auto"/>
            </w:tcBorders>
            <w:shd w:val="clear" w:color="auto" w:fill="auto"/>
            <w:noWrap/>
            <w:vAlign w:val="bottom"/>
            <w:hideMark/>
          </w:tcPr>
          <w:p w14:paraId="0147EAD6"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BUSINESS UNIT</w:t>
            </w:r>
          </w:p>
        </w:tc>
      </w:tr>
      <w:tr w14:paraId="0B0A9DDD" w:rsidR="00F165D0" w:rsidRPr="00DC4545" w:rsidTr="005A4D67">
        <w:trPr>
          <w:trHeight w:val="555"/>
        </w:trPr>
        <w:tc>
          <w:tcPr>
            <w:tcW w:w="2070" w:type="dxa"/>
            <w:tcBorders>
              <w:top w:val="nil"/>
              <w:left w:val="single" w:sz="4" w:space="0" w:color="auto"/>
              <w:bottom w:val="single" w:sz="4" w:space="0" w:color="auto"/>
              <w:right w:val="single" w:sz="4" w:space="0" w:color="auto"/>
            </w:tcBorders>
            <w:shd w:val="clear" w:color="auto" w:fill="auto"/>
            <w:vAlign w:val="center"/>
          </w:tcPr>
          <w:p w14:paraId="0169F8FF"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Project Title:</w:t>
            </w:r>
          </w:p>
        </w:tc>
        <w:tc>
          <w:tcPr>
            <w:tcW w:w="12922" w:type="dxa"/>
            <w:gridSpan w:val="3"/>
            <w:tcBorders>
              <w:top w:val="nil"/>
              <w:left w:val="nil"/>
              <w:bottom w:val="single" w:sz="4" w:space="0" w:color="auto"/>
              <w:right w:val="single" w:sz="4" w:space="0" w:color="auto"/>
            </w:tcBorders>
            <w:shd w:val="clear" w:color="auto" w:fill="auto"/>
            <w:noWrap/>
            <w:vAlign w:val="center"/>
          </w:tcPr>
          <w:p w14:paraId="36FC0BA8"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Implementing a ridge to reef approach to protecting biodiversity and ecosystems functions within and around protected areas in Grenada</w:t>
            </w:r>
          </w:p>
        </w:tc>
      </w:tr>
      <w:tr w14:paraId="609BF27F" w:rsidR="00F165D0" w:rsidRPr="00DC4545" w:rsidTr="005A4D67">
        <w:trPr>
          <w:trHeight w:val="197"/>
        </w:trPr>
        <w:tc>
          <w:tcPr>
            <w:tcW w:w="2070" w:type="dxa"/>
            <w:tcBorders>
              <w:top w:val="nil"/>
              <w:left w:val="single" w:sz="4" w:space="0" w:color="auto"/>
              <w:bottom w:val="single" w:sz="4" w:space="0" w:color="auto"/>
              <w:right w:val="single" w:sz="4" w:space="0" w:color="auto"/>
            </w:tcBorders>
            <w:shd w:val="clear" w:color="auto" w:fill="auto"/>
            <w:vAlign w:val="bottom"/>
          </w:tcPr>
          <w:p w14:paraId="6A505DD9"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PIMS NO:</w:t>
            </w:r>
          </w:p>
        </w:tc>
        <w:tc>
          <w:tcPr>
            <w:tcW w:w="12922" w:type="dxa"/>
            <w:gridSpan w:val="3"/>
            <w:tcBorders>
              <w:top w:val="nil"/>
              <w:left w:val="nil"/>
              <w:bottom w:val="single" w:sz="4" w:space="0" w:color="auto"/>
              <w:right w:val="single" w:sz="4" w:space="0" w:color="auto"/>
            </w:tcBorders>
            <w:shd w:val="clear" w:color="auto" w:fill="auto"/>
            <w:noWrap/>
            <w:vAlign w:val="bottom"/>
          </w:tcPr>
          <w:p w14:paraId="5E590865"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5087</w:t>
            </w:r>
          </w:p>
        </w:tc>
      </w:tr>
      <w:tr w14:paraId="476735ED" w:rsidR="00F165D0" w:rsidRPr="00DC4545" w:rsidTr="005A4D67">
        <w:trPr>
          <w:trHeight w:val="555"/>
        </w:trPr>
        <w:tc>
          <w:tcPr>
            <w:tcW w:w="2070" w:type="dxa"/>
            <w:tcBorders>
              <w:top w:val="nil"/>
              <w:left w:val="single" w:sz="4" w:space="0" w:color="auto"/>
              <w:bottom w:val="single" w:sz="4" w:space="0" w:color="auto"/>
              <w:right w:val="single" w:sz="4" w:space="0" w:color="auto"/>
            </w:tcBorders>
            <w:shd w:val="clear" w:color="auto" w:fill="auto"/>
            <w:vAlign w:val="bottom"/>
            <w:hideMark/>
          </w:tcPr>
          <w:p w14:paraId="0D7A8B82"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Implementing partner (executing agency)</w:t>
            </w:r>
          </w:p>
        </w:tc>
        <w:tc>
          <w:tcPr>
            <w:tcW w:w="12922" w:type="dxa"/>
            <w:gridSpan w:val="3"/>
            <w:tcBorders>
              <w:top w:val="nil"/>
              <w:left w:val="nil"/>
              <w:bottom w:val="single" w:sz="4" w:space="0" w:color="auto"/>
              <w:right w:val="single" w:sz="4" w:space="0" w:color="auto"/>
            </w:tcBorders>
            <w:shd w:val="clear" w:color="auto" w:fill="auto"/>
            <w:noWrap/>
            <w:vAlign w:val="bottom"/>
            <w:hideMark/>
          </w:tcPr>
          <w:p w14:paraId="1D1A50A0"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Ministry of Agriculture, Lands, Forestry, Fisheries and Environment. </w:t>
            </w:r>
          </w:p>
          <w:p w14:paraId="7A0B02EC"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 </w:t>
            </w:r>
          </w:p>
        </w:tc>
      </w:tr>
    </w:tbl>
    <w:p w14:paraId="6A9866C6" w:rsidR="00E12C16" w:rsidRDefault="00E12C16" w:rsidP="00F165D0">
      <w:pPr>
        <w:tabs>
          <w:tab w:val="left" w:pos="6331"/>
        </w:tabs>
        <w:rPr>
          <w:rFonts w:ascii="Times New Roman" w:hAnsi="Times New Roman" w:cs="Times New Roman"/>
        </w:rPr>
      </w:pPr>
    </w:p>
    <w:tbl>
      <w:tblPr>
        <w:tblW w:w="15186" w:type="dxa"/>
        <w:tblInd w:w="-214" w:type="dxa"/>
        <w:tblLayout w:type="fixed"/>
        <w:tblCellMar>
          <w:left w:w="70" w:type="dxa"/>
          <w:right w:w="70" w:type="dxa"/>
        </w:tblCellMar>
        <w:tblLook w:val="04A0" w:firstRow="1" w:lastRow="0" w:firstColumn="1" w:lastColumn="0" w:noHBand="0" w:noVBand="1"/>
      </w:tblPr>
      <w:tblGrid>
        <w:gridCol w:w="1559"/>
        <w:gridCol w:w="1418"/>
        <w:gridCol w:w="1134"/>
        <w:gridCol w:w="2551"/>
        <w:gridCol w:w="13"/>
        <w:gridCol w:w="979"/>
        <w:gridCol w:w="1134"/>
        <w:gridCol w:w="1134"/>
        <w:gridCol w:w="993"/>
        <w:gridCol w:w="992"/>
        <w:gridCol w:w="992"/>
        <w:gridCol w:w="1152"/>
        <w:gridCol w:w="7"/>
        <w:gridCol w:w="1128"/>
      </w:tblGrid>
      <w:tr w14:paraId="25FB5529" w:rsidR="005A4D67" w:rsidRPr="00297BAD" w:rsidTr="00952305">
        <w:trPr>
          <w:trHeight w:val="300"/>
        </w:trPr>
        <w:tc>
          <w:tcPr>
            <w:tcW w:w="1559"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0E231FFB"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GEF Outcome/ Atlas Activity</w:t>
            </w:r>
          </w:p>
        </w:tc>
        <w:tc>
          <w:tcPr>
            <w:tcW w:w="1418" w:type="dxa"/>
            <w:tcBorders>
              <w:top w:val="single" w:sz="4" w:space="0" w:color="auto"/>
              <w:left w:val="nil"/>
              <w:bottom w:val="single" w:sz="4" w:space="0" w:color="auto"/>
              <w:right w:val="single" w:sz="4" w:space="0" w:color="auto"/>
            </w:tcBorders>
            <w:shd w:val="clear" w:color="000000" w:fill="92CDDC"/>
            <w:noWrap/>
            <w:vAlign w:val="bottom"/>
            <w:hideMark/>
          </w:tcPr>
          <w:p w14:paraId="0A4ED58C"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Responsible Party</w:t>
            </w:r>
          </w:p>
        </w:tc>
        <w:tc>
          <w:tcPr>
            <w:tcW w:w="1134" w:type="dxa"/>
            <w:tcBorders>
              <w:top w:val="single" w:sz="4" w:space="0" w:color="auto"/>
              <w:left w:val="nil"/>
              <w:bottom w:val="single" w:sz="4" w:space="0" w:color="auto"/>
              <w:right w:val="single" w:sz="4" w:space="0" w:color="auto"/>
            </w:tcBorders>
            <w:shd w:val="clear" w:color="000000" w:fill="92CDDC"/>
            <w:noWrap/>
            <w:vAlign w:val="bottom"/>
            <w:hideMark/>
          </w:tcPr>
          <w:p w14:paraId="71E08C8C"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Source of Funds</w:t>
            </w:r>
          </w:p>
        </w:tc>
        <w:tc>
          <w:tcPr>
            <w:tcW w:w="2551" w:type="dxa"/>
            <w:tcBorders>
              <w:top w:val="single" w:sz="4" w:space="0" w:color="auto"/>
              <w:left w:val="nil"/>
              <w:bottom w:val="single" w:sz="4" w:space="0" w:color="auto"/>
              <w:right w:val="single" w:sz="4" w:space="0" w:color="auto"/>
            </w:tcBorders>
            <w:shd w:val="clear" w:color="000000" w:fill="92CDDC"/>
            <w:noWrap/>
            <w:vAlign w:val="bottom"/>
            <w:hideMark/>
          </w:tcPr>
          <w:p w14:paraId="39DE8BDA" w:rsidR="005A4D67" w:rsidRPr="00297BAD" w:rsidRDefault="005A4D67" w:rsidP="005A4D67">
            <w:pPr>
              <w:spacing w:after="0" w:line="240" w:lineRule="auto"/>
              <w:rPr>
                <w:rFonts w:ascii="Times New Roman" w:eastAsia="Times New Roman" w:hAnsi="Times New Roman" w:cs="Times New Roman"/>
                <w:b/>
                <w:bCs/>
                <w:color w:val="000000"/>
                <w:lang w:eastAsia="es-MX"/>
              </w:rPr>
            </w:pPr>
            <w:r w:rsidRPr="00297BAD">
              <w:rPr>
                <w:rFonts w:ascii="Times New Roman" w:hAnsi="Times New Roman" w:eastAsia="Times New Roman" w:cs="Times New Roman"/>
                <w:b/>
                <w:bCs/>
                <w:color w:val="000000"/>
                <w:lang w:eastAsia="es-MX"/>
              </w:rPr>
              <w:t>ERP/ATLAS Budget Description/ Input</w:t>
            </w:r>
          </w:p>
        </w:tc>
        <w:tc>
          <w:tcPr>
            <w:tcW w:w="992" w:type="dxa"/>
            <w:gridSpan w:val="2"/>
            <w:tcBorders>
              <w:top w:val="single" w:sz="4" w:space="0" w:color="auto"/>
              <w:left w:val="nil"/>
              <w:bottom w:val="single" w:sz="4" w:space="0" w:color="auto"/>
              <w:right w:val="single" w:sz="4" w:space="0" w:color="auto"/>
            </w:tcBorders>
            <w:shd w:val="clear" w:color="000000" w:fill="92CDDC"/>
            <w:noWrap/>
            <w:vAlign w:val="bottom"/>
            <w:hideMark/>
          </w:tcPr>
          <w:p w14:paraId="0AF5406C"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Atlas Code</w:t>
            </w:r>
          </w:p>
        </w:tc>
        <w:tc>
          <w:tcPr>
            <w:tcW w:w="1134" w:type="dxa"/>
            <w:tcBorders>
              <w:top w:val="single" w:sz="4" w:space="0" w:color="auto"/>
              <w:left w:val="nil"/>
              <w:bottom w:val="single" w:sz="4" w:space="0" w:color="auto"/>
              <w:right w:val="single" w:sz="4" w:space="0" w:color="auto"/>
            </w:tcBorders>
            <w:shd w:val="clear" w:color="000000" w:fill="92CDDC"/>
            <w:noWrap/>
            <w:vAlign w:val="bottom"/>
            <w:hideMark/>
          </w:tcPr>
          <w:p w14:paraId="28E4A606"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Y1</w:t>
            </w:r>
          </w:p>
        </w:tc>
        <w:tc>
          <w:tcPr>
            <w:tcW w:w="1134" w:type="dxa"/>
            <w:tcBorders>
              <w:top w:val="single" w:sz="4" w:space="0" w:color="auto"/>
              <w:left w:val="nil"/>
              <w:bottom w:val="single" w:sz="4" w:space="0" w:color="auto"/>
              <w:right w:val="single" w:sz="4" w:space="0" w:color="auto"/>
            </w:tcBorders>
            <w:shd w:val="clear" w:color="000000" w:fill="92CDDC"/>
            <w:noWrap/>
            <w:vAlign w:val="bottom"/>
            <w:hideMark/>
          </w:tcPr>
          <w:p w14:paraId="53D1B9AB"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Y2</w:t>
            </w:r>
          </w:p>
        </w:tc>
        <w:tc>
          <w:tcPr>
            <w:tcW w:w="993" w:type="dxa"/>
            <w:tcBorders>
              <w:top w:val="single" w:sz="4" w:space="0" w:color="auto"/>
              <w:left w:val="nil"/>
              <w:bottom w:val="single" w:sz="4" w:space="0" w:color="auto"/>
              <w:right w:val="single" w:sz="4" w:space="0" w:color="auto"/>
            </w:tcBorders>
            <w:shd w:val="clear" w:color="000000" w:fill="92CDDC"/>
            <w:noWrap/>
            <w:vAlign w:val="bottom"/>
            <w:hideMark/>
          </w:tcPr>
          <w:p w14:paraId="0DAA6E67"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Y3</w:t>
            </w:r>
          </w:p>
        </w:tc>
        <w:tc>
          <w:tcPr>
            <w:tcW w:w="992" w:type="dxa"/>
            <w:tcBorders>
              <w:top w:val="single" w:sz="4" w:space="0" w:color="auto"/>
              <w:left w:val="nil"/>
              <w:bottom w:val="single" w:sz="4" w:space="0" w:color="auto"/>
              <w:right w:val="single" w:sz="4" w:space="0" w:color="auto"/>
            </w:tcBorders>
            <w:shd w:val="clear" w:color="000000" w:fill="92CDDC"/>
            <w:noWrap/>
            <w:vAlign w:val="bottom"/>
            <w:hideMark/>
          </w:tcPr>
          <w:p w14:paraId="3DDEAF42"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Y4</w:t>
            </w:r>
          </w:p>
        </w:tc>
        <w:tc>
          <w:tcPr>
            <w:tcW w:w="992" w:type="dxa"/>
            <w:tcBorders>
              <w:top w:val="single" w:sz="4" w:space="0" w:color="auto"/>
              <w:left w:val="nil"/>
              <w:bottom w:val="single" w:sz="4" w:space="0" w:color="auto"/>
              <w:right w:val="single" w:sz="4" w:space="0" w:color="auto"/>
            </w:tcBorders>
            <w:shd w:val="clear" w:color="000000" w:fill="92CDDC"/>
            <w:noWrap/>
            <w:vAlign w:val="bottom"/>
            <w:hideMark/>
          </w:tcPr>
          <w:p w14:paraId="3C7095A1"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Y5</w:t>
            </w:r>
          </w:p>
        </w:tc>
        <w:tc>
          <w:tcPr>
            <w:tcW w:w="1152" w:type="dxa"/>
            <w:tcBorders>
              <w:top w:val="single" w:sz="4" w:space="0" w:color="auto"/>
              <w:left w:val="nil"/>
              <w:bottom w:val="single" w:sz="4" w:space="0" w:color="auto"/>
              <w:right w:val="single" w:sz="4" w:space="0" w:color="auto"/>
            </w:tcBorders>
            <w:shd w:val="clear" w:color="000000" w:fill="92CDDC"/>
            <w:noWrap/>
            <w:vAlign w:val="bottom"/>
            <w:hideMark/>
          </w:tcPr>
          <w:p w14:paraId="17BA8A30"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w:t>
            </w:r>
          </w:p>
        </w:tc>
        <w:tc>
          <w:tcPr>
            <w:tcW w:w="1135" w:type="dxa"/>
            <w:gridSpan w:val="2"/>
            <w:tcBorders>
              <w:top w:val="single" w:sz="4" w:space="0" w:color="auto"/>
              <w:left w:val="nil"/>
              <w:bottom w:val="single" w:sz="4" w:space="0" w:color="auto"/>
              <w:right w:val="single" w:sz="4" w:space="0" w:color="auto"/>
            </w:tcBorders>
            <w:shd w:val="clear" w:color="000000" w:fill="92CDDC"/>
            <w:noWrap/>
            <w:vAlign w:val="bottom"/>
            <w:hideMark/>
          </w:tcPr>
          <w:p w14:paraId="4493BD68"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Budget Notes</w:t>
            </w:r>
          </w:p>
        </w:tc>
      </w:tr>
      <w:tr w14:paraId="37E5BA64" w:rsidR="005A4D67" w:rsidRPr="00297BAD" w:rsidTr="00952305">
        <w:trPr>
          <w:trHeight w:val="300"/>
        </w:trPr>
        <w:tc>
          <w:tcPr>
            <w:tcW w:w="155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8211EF0"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1</w:t>
            </w:r>
          </w:p>
        </w:tc>
        <w:tc>
          <w:tcPr>
            <w:tcW w:w="1418" w:type="dxa"/>
            <w:vMerge w:val="restart"/>
            <w:tcBorders>
              <w:top w:val="nil"/>
              <w:left w:val="single" w:sz="4" w:space="0" w:color="auto"/>
              <w:bottom w:val="single" w:sz="4" w:space="0" w:color="000000"/>
              <w:right w:val="nil"/>
            </w:tcBorders>
            <w:shd w:val="clear" w:color="000000" w:fill="DAEEF3"/>
            <w:vAlign w:val="center"/>
            <w:hideMark/>
          </w:tcPr>
          <w:p w14:paraId="08C935B1" w:rsidR="005A4D67" w:rsidRPr="00297BAD" w:rsidRDefault="005A4D67" w:rsidP="005A4D67">
            <w:pPr>
              <w:spacing w:after="0" w:line="240" w:lineRule="auto"/>
              <w:jc w:val="center"/>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 xml:space="preserve">Ministry of Agriculture, Lands, Forestry, Fisheries and the Environment (MoA) </w:t>
            </w:r>
          </w:p>
        </w:tc>
        <w:tc>
          <w:tcPr>
            <w:tcW w:w="1134" w:type="dxa"/>
            <w:vMerge w:val="restart"/>
            <w:tcBorders>
              <w:top w:val="nil"/>
              <w:left w:val="single" w:sz="4" w:space="0" w:color="auto"/>
              <w:bottom w:val="single" w:sz="4" w:space="0" w:color="auto"/>
              <w:right w:val="single" w:sz="4" w:space="0" w:color="auto"/>
            </w:tcBorders>
            <w:shd w:val="clear" w:color="000000" w:fill="DAEEF3"/>
            <w:noWrap/>
            <w:vAlign w:val="center"/>
            <w:hideMark/>
          </w:tcPr>
          <w:p w14:paraId="616FDB3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62000</w:t>
            </w:r>
          </w:p>
        </w:tc>
        <w:tc>
          <w:tcPr>
            <w:tcW w:w="2551" w:type="dxa"/>
            <w:tcBorders>
              <w:top w:val="nil"/>
              <w:left w:val="nil"/>
              <w:bottom w:val="single" w:sz="4" w:space="0" w:color="auto"/>
              <w:right w:val="single" w:sz="4" w:space="0" w:color="auto"/>
            </w:tcBorders>
            <w:shd w:val="clear" w:color="000000" w:fill="DAEEF3"/>
            <w:noWrap/>
            <w:vAlign w:val="bottom"/>
            <w:hideMark/>
          </w:tcPr>
          <w:p w14:paraId="34C119C1"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International consultants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367C93F1"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71200</w:t>
            </w:r>
          </w:p>
        </w:tc>
        <w:tc>
          <w:tcPr>
            <w:tcW w:w="1134" w:type="dxa"/>
            <w:tcBorders>
              <w:top w:val="nil"/>
              <w:left w:val="nil"/>
              <w:bottom w:val="single" w:sz="4" w:space="0" w:color="auto"/>
              <w:right w:val="single" w:sz="4" w:space="0" w:color="auto"/>
            </w:tcBorders>
            <w:shd w:val="clear" w:color="000000" w:fill="DAEEF3"/>
            <w:noWrap/>
            <w:vAlign w:val="bottom"/>
            <w:hideMark/>
          </w:tcPr>
          <w:p w14:paraId="620E573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DAEEF3"/>
            <w:noWrap/>
            <w:vAlign w:val="bottom"/>
            <w:hideMark/>
          </w:tcPr>
          <w:p w14:paraId="427FEFD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3" w:type="dxa"/>
            <w:tcBorders>
              <w:top w:val="nil"/>
              <w:left w:val="nil"/>
              <w:bottom w:val="single" w:sz="4" w:space="0" w:color="auto"/>
              <w:right w:val="single" w:sz="4" w:space="0" w:color="auto"/>
            </w:tcBorders>
            <w:shd w:val="clear" w:color="000000" w:fill="DAEEF3"/>
            <w:noWrap/>
            <w:vAlign w:val="bottom"/>
            <w:hideMark/>
          </w:tcPr>
          <w:p w14:paraId="259E52D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26,500 </w:t>
            </w:r>
          </w:p>
        </w:tc>
        <w:tc>
          <w:tcPr>
            <w:tcW w:w="992" w:type="dxa"/>
            <w:tcBorders>
              <w:top w:val="nil"/>
              <w:left w:val="nil"/>
              <w:bottom w:val="single" w:sz="4" w:space="0" w:color="auto"/>
              <w:right w:val="single" w:sz="4" w:space="0" w:color="auto"/>
            </w:tcBorders>
            <w:shd w:val="clear" w:color="000000" w:fill="DAEEF3"/>
            <w:noWrap/>
            <w:vAlign w:val="bottom"/>
            <w:hideMark/>
          </w:tcPr>
          <w:p w14:paraId="7ACB83C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5AF7E0B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220BB30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26,500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4C94E2D8"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1</w:t>
            </w:r>
          </w:p>
        </w:tc>
      </w:tr>
      <w:tr w14:paraId="18CDE949" w:rsidR="005A4D67" w:rsidRPr="00297BAD" w:rsidTr="00952305">
        <w:trPr>
          <w:trHeight w:val="345"/>
        </w:trPr>
        <w:tc>
          <w:tcPr>
            <w:tcW w:w="1559" w:type="dxa"/>
            <w:vMerge/>
            <w:tcBorders>
              <w:top w:val="nil"/>
              <w:left w:val="single" w:sz="4" w:space="0" w:color="auto"/>
              <w:bottom w:val="single" w:sz="4" w:space="0" w:color="000000"/>
              <w:right w:val="single" w:sz="4" w:space="0" w:color="auto"/>
            </w:tcBorders>
            <w:vAlign w:val="center"/>
            <w:hideMark/>
          </w:tcPr>
          <w:p w14:paraId="03A7710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7CFE0BF6"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516EBA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2F6CF35A"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Local Consultants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6D24B69F"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71300</w:t>
            </w:r>
          </w:p>
        </w:tc>
        <w:tc>
          <w:tcPr>
            <w:tcW w:w="1134" w:type="dxa"/>
            <w:tcBorders>
              <w:top w:val="nil"/>
              <w:left w:val="nil"/>
              <w:bottom w:val="single" w:sz="4" w:space="0" w:color="auto"/>
              <w:right w:val="single" w:sz="4" w:space="0" w:color="auto"/>
            </w:tcBorders>
            <w:shd w:val="clear" w:color="000000" w:fill="DAEEF3"/>
            <w:noWrap/>
            <w:vAlign w:val="bottom"/>
            <w:hideMark/>
          </w:tcPr>
          <w:p w14:paraId="05DBF47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34,976 </w:t>
            </w:r>
          </w:p>
        </w:tc>
        <w:tc>
          <w:tcPr>
            <w:tcW w:w="1134" w:type="dxa"/>
            <w:tcBorders>
              <w:top w:val="nil"/>
              <w:left w:val="nil"/>
              <w:bottom w:val="single" w:sz="4" w:space="0" w:color="auto"/>
              <w:right w:val="single" w:sz="4" w:space="0" w:color="auto"/>
            </w:tcBorders>
            <w:shd w:val="clear" w:color="000000" w:fill="DAEEF3"/>
            <w:noWrap/>
            <w:vAlign w:val="bottom"/>
            <w:hideMark/>
          </w:tcPr>
          <w:p w14:paraId="62D07B3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48,429 </w:t>
            </w:r>
          </w:p>
        </w:tc>
        <w:tc>
          <w:tcPr>
            <w:tcW w:w="993" w:type="dxa"/>
            <w:tcBorders>
              <w:top w:val="nil"/>
              <w:left w:val="nil"/>
              <w:bottom w:val="single" w:sz="4" w:space="0" w:color="auto"/>
              <w:right w:val="single" w:sz="4" w:space="0" w:color="auto"/>
            </w:tcBorders>
            <w:shd w:val="clear" w:color="000000" w:fill="DAEEF3"/>
            <w:noWrap/>
            <w:vAlign w:val="bottom"/>
            <w:hideMark/>
          </w:tcPr>
          <w:p w14:paraId="6C2FD14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69,953 </w:t>
            </w:r>
          </w:p>
        </w:tc>
        <w:tc>
          <w:tcPr>
            <w:tcW w:w="992" w:type="dxa"/>
            <w:tcBorders>
              <w:top w:val="nil"/>
              <w:left w:val="nil"/>
              <w:bottom w:val="single" w:sz="4" w:space="0" w:color="auto"/>
              <w:right w:val="single" w:sz="4" w:space="0" w:color="auto"/>
            </w:tcBorders>
            <w:shd w:val="clear" w:color="000000" w:fill="DAEEF3"/>
            <w:noWrap/>
            <w:vAlign w:val="bottom"/>
            <w:hideMark/>
          </w:tcPr>
          <w:p w14:paraId="36F4E9E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34,976 </w:t>
            </w:r>
          </w:p>
        </w:tc>
        <w:tc>
          <w:tcPr>
            <w:tcW w:w="992" w:type="dxa"/>
            <w:tcBorders>
              <w:top w:val="nil"/>
              <w:left w:val="nil"/>
              <w:bottom w:val="single" w:sz="4" w:space="0" w:color="auto"/>
              <w:right w:val="single" w:sz="4" w:space="0" w:color="auto"/>
            </w:tcBorders>
            <w:shd w:val="clear" w:color="000000" w:fill="DAEEF3"/>
            <w:noWrap/>
            <w:vAlign w:val="bottom"/>
            <w:hideMark/>
          </w:tcPr>
          <w:p w14:paraId="1FC0F40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80,715 </w:t>
            </w:r>
          </w:p>
        </w:tc>
        <w:tc>
          <w:tcPr>
            <w:tcW w:w="1152" w:type="dxa"/>
            <w:tcBorders>
              <w:top w:val="nil"/>
              <w:left w:val="nil"/>
              <w:bottom w:val="single" w:sz="4" w:space="0" w:color="auto"/>
              <w:right w:val="single" w:sz="4" w:space="0" w:color="auto"/>
            </w:tcBorders>
            <w:shd w:val="clear" w:color="000000" w:fill="DAEEF3"/>
            <w:noWrap/>
            <w:vAlign w:val="bottom"/>
            <w:hideMark/>
          </w:tcPr>
          <w:p w14:paraId="47B36DB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269,049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14AD659F"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2</w:t>
            </w:r>
          </w:p>
        </w:tc>
      </w:tr>
      <w:tr w14:paraId="01BA233F" w:rsidR="005A4D67" w:rsidRPr="00297BAD" w:rsidTr="00952305">
        <w:trPr>
          <w:trHeight w:val="345"/>
        </w:trPr>
        <w:tc>
          <w:tcPr>
            <w:tcW w:w="1559" w:type="dxa"/>
            <w:vMerge/>
            <w:tcBorders>
              <w:top w:val="nil"/>
              <w:left w:val="single" w:sz="4" w:space="0" w:color="auto"/>
              <w:bottom w:val="single" w:sz="4" w:space="0" w:color="000000"/>
              <w:right w:val="single" w:sz="4" w:space="0" w:color="auto"/>
            </w:tcBorders>
            <w:vAlign w:val="center"/>
            <w:hideMark/>
          </w:tcPr>
          <w:p w14:paraId="0A9425B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6EF87E1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FCCB4BB"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43693B93"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4E9A083B"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134" w:type="dxa"/>
            <w:tcBorders>
              <w:top w:val="nil"/>
              <w:left w:val="nil"/>
              <w:bottom w:val="single" w:sz="4" w:space="0" w:color="auto"/>
              <w:right w:val="single" w:sz="4" w:space="0" w:color="auto"/>
            </w:tcBorders>
            <w:shd w:val="clear" w:color="000000" w:fill="DAEEF3"/>
            <w:noWrap/>
            <w:vAlign w:val="bottom"/>
            <w:hideMark/>
          </w:tcPr>
          <w:p w14:paraId="69AF6EC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24,832 </w:t>
            </w:r>
          </w:p>
        </w:tc>
        <w:tc>
          <w:tcPr>
            <w:tcW w:w="1134" w:type="dxa"/>
            <w:tcBorders>
              <w:top w:val="nil"/>
              <w:left w:val="nil"/>
              <w:bottom w:val="single" w:sz="4" w:space="0" w:color="auto"/>
              <w:right w:val="single" w:sz="4" w:space="0" w:color="auto"/>
            </w:tcBorders>
            <w:shd w:val="clear" w:color="000000" w:fill="DAEEF3"/>
            <w:noWrap/>
            <w:vAlign w:val="bottom"/>
            <w:hideMark/>
          </w:tcPr>
          <w:p w14:paraId="72684E3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24,832 </w:t>
            </w:r>
          </w:p>
        </w:tc>
        <w:tc>
          <w:tcPr>
            <w:tcW w:w="993" w:type="dxa"/>
            <w:tcBorders>
              <w:top w:val="nil"/>
              <w:left w:val="nil"/>
              <w:bottom w:val="single" w:sz="4" w:space="0" w:color="auto"/>
              <w:right w:val="single" w:sz="4" w:space="0" w:color="auto"/>
            </w:tcBorders>
            <w:shd w:val="clear" w:color="000000" w:fill="DAEEF3"/>
            <w:noWrap/>
            <w:vAlign w:val="bottom"/>
            <w:hideMark/>
          </w:tcPr>
          <w:p w14:paraId="28B6381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24,832 </w:t>
            </w:r>
          </w:p>
        </w:tc>
        <w:tc>
          <w:tcPr>
            <w:tcW w:w="992" w:type="dxa"/>
            <w:tcBorders>
              <w:top w:val="nil"/>
              <w:left w:val="nil"/>
              <w:bottom w:val="single" w:sz="4" w:space="0" w:color="auto"/>
              <w:right w:val="single" w:sz="4" w:space="0" w:color="auto"/>
            </w:tcBorders>
            <w:shd w:val="clear" w:color="000000" w:fill="DAEEF3"/>
            <w:noWrap/>
            <w:vAlign w:val="bottom"/>
            <w:hideMark/>
          </w:tcPr>
          <w:p w14:paraId="422F3EE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24,832 </w:t>
            </w:r>
          </w:p>
        </w:tc>
        <w:tc>
          <w:tcPr>
            <w:tcW w:w="992" w:type="dxa"/>
            <w:tcBorders>
              <w:top w:val="nil"/>
              <w:left w:val="nil"/>
              <w:bottom w:val="single" w:sz="4" w:space="0" w:color="auto"/>
              <w:right w:val="single" w:sz="4" w:space="0" w:color="auto"/>
            </w:tcBorders>
            <w:shd w:val="clear" w:color="000000" w:fill="DAEEF3"/>
            <w:noWrap/>
            <w:vAlign w:val="bottom"/>
            <w:hideMark/>
          </w:tcPr>
          <w:p w14:paraId="558FD2B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24,832 </w:t>
            </w:r>
          </w:p>
        </w:tc>
        <w:tc>
          <w:tcPr>
            <w:tcW w:w="1152" w:type="dxa"/>
            <w:tcBorders>
              <w:top w:val="nil"/>
              <w:left w:val="nil"/>
              <w:bottom w:val="single" w:sz="4" w:space="0" w:color="auto"/>
              <w:right w:val="single" w:sz="4" w:space="0" w:color="auto"/>
            </w:tcBorders>
            <w:shd w:val="clear" w:color="000000" w:fill="DAEEF3"/>
            <w:noWrap/>
            <w:vAlign w:val="bottom"/>
            <w:hideMark/>
          </w:tcPr>
          <w:p w14:paraId="65F75AB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124,160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58B971C0"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3</w:t>
            </w:r>
          </w:p>
        </w:tc>
      </w:tr>
      <w:tr w14:paraId="669DBCAE" w:rsidR="005A4D67" w:rsidRPr="00297BAD" w:rsidTr="00952305">
        <w:trPr>
          <w:trHeight w:val="345"/>
        </w:trPr>
        <w:tc>
          <w:tcPr>
            <w:tcW w:w="1559" w:type="dxa"/>
            <w:vMerge/>
            <w:tcBorders>
              <w:top w:val="nil"/>
              <w:left w:val="single" w:sz="4" w:space="0" w:color="auto"/>
              <w:bottom w:val="single" w:sz="4" w:space="0" w:color="000000"/>
              <w:right w:val="single" w:sz="4" w:space="0" w:color="auto"/>
            </w:tcBorders>
            <w:vAlign w:val="center"/>
            <w:hideMark/>
          </w:tcPr>
          <w:p w14:paraId="17FCABB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281876E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05D024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13579C35"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Travel</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2F56F4D9"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71600</w:t>
            </w:r>
          </w:p>
        </w:tc>
        <w:tc>
          <w:tcPr>
            <w:tcW w:w="1134" w:type="dxa"/>
            <w:tcBorders>
              <w:top w:val="nil"/>
              <w:left w:val="nil"/>
              <w:bottom w:val="single" w:sz="4" w:space="0" w:color="auto"/>
              <w:right w:val="single" w:sz="4" w:space="0" w:color="auto"/>
            </w:tcBorders>
            <w:shd w:val="clear" w:color="000000" w:fill="DAEEF3"/>
            <w:noWrap/>
            <w:vAlign w:val="bottom"/>
            <w:hideMark/>
          </w:tcPr>
          <w:p w14:paraId="4FD4D98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5,405 </w:t>
            </w:r>
          </w:p>
        </w:tc>
        <w:tc>
          <w:tcPr>
            <w:tcW w:w="1134" w:type="dxa"/>
            <w:tcBorders>
              <w:top w:val="nil"/>
              <w:left w:val="nil"/>
              <w:bottom w:val="single" w:sz="4" w:space="0" w:color="auto"/>
              <w:right w:val="single" w:sz="4" w:space="0" w:color="auto"/>
            </w:tcBorders>
            <w:shd w:val="clear" w:color="000000" w:fill="DAEEF3"/>
            <w:noWrap/>
            <w:vAlign w:val="bottom"/>
            <w:hideMark/>
          </w:tcPr>
          <w:p w14:paraId="6D49A90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2,000 </w:t>
            </w:r>
          </w:p>
        </w:tc>
        <w:tc>
          <w:tcPr>
            <w:tcW w:w="993" w:type="dxa"/>
            <w:tcBorders>
              <w:top w:val="nil"/>
              <w:left w:val="nil"/>
              <w:bottom w:val="single" w:sz="4" w:space="0" w:color="auto"/>
              <w:right w:val="single" w:sz="4" w:space="0" w:color="auto"/>
            </w:tcBorders>
            <w:shd w:val="clear" w:color="000000" w:fill="DAEEF3"/>
            <w:noWrap/>
            <w:vAlign w:val="bottom"/>
            <w:hideMark/>
          </w:tcPr>
          <w:p w14:paraId="7227572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253D350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56D3ADB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789382C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7,405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0E71BBE8"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4</w:t>
            </w:r>
          </w:p>
        </w:tc>
      </w:tr>
      <w:tr w14:paraId="4F4BDF01" w:rsidR="005A4D67" w:rsidRPr="00297BAD" w:rsidTr="00952305">
        <w:trPr>
          <w:trHeight w:val="585"/>
        </w:trPr>
        <w:tc>
          <w:tcPr>
            <w:tcW w:w="1559" w:type="dxa"/>
            <w:vMerge/>
            <w:tcBorders>
              <w:top w:val="nil"/>
              <w:left w:val="single" w:sz="4" w:space="0" w:color="auto"/>
              <w:bottom w:val="single" w:sz="4" w:space="0" w:color="000000"/>
              <w:right w:val="single" w:sz="4" w:space="0" w:color="auto"/>
            </w:tcBorders>
            <w:vAlign w:val="center"/>
            <w:hideMark/>
          </w:tcPr>
          <w:p w14:paraId="11DE95B4"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61C3422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BB5E91F"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712C3506" w:rsidR="005A4D67" w:rsidRPr="00297BAD" w:rsidRDefault="00647A73" w:rsidP="00647A73">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w:t>
            </w:r>
            <w:r w:rsidR="005A4D67" w:rsidRPr="00297BAD">
              <w:rPr>
                <w:rFonts w:ascii="Times New Roman" w:hAnsi="Times New Roman" w:eastAsia="Times New Roman" w:cs="Times New Roman"/>
                <w:color w:val="000000"/>
                <w:lang w:val="es-MX" w:eastAsia="es-MX"/>
              </w:rPr>
              <w:t>ontract</w:t>
            </w:r>
            <w:r w:rsidRPr="00297BAD">
              <w:rPr>
                <w:rFonts w:ascii="Times New Roman" w:hAnsi="Times New Roman" w:eastAsia="Times New Roman" w:cs="Times New Roman"/>
                <w:color w:val="000000"/>
                <w:lang w:val="es-MX" w:eastAsia="es-MX"/>
              </w:rPr>
              <w:t>ual</w:t>
            </w:r>
            <w:r w:rsidR="005A4D67" w:rsidRPr="00297BAD">
              <w:rPr>
                <w:rFonts w:ascii="Times New Roman" w:hAnsi="Times New Roman" w:eastAsia="Times New Roman" w:cs="Times New Roman"/>
                <w:color w:val="000000"/>
                <w:lang w:val="es-MX" w:eastAsia="es-MX"/>
              </w:rPr>
              <w:t xml:space="preserve"> </w:t>
            </w:r>
            <w:r w:rsidRPr="00297BAD">
              <w:rPr>
                <w:rFonts w:ascii="Times New Roman" w:hAnsi="Times New Roman" w:eastAsia="Times New Roman" w:cs="Times New Roman"/>
                <w:color w:val="000000"/>
                <w:lang w:val="es-MX" w:eastAsia="es-MX"/>
              </w:rPr>
              <w:t>S</w:t>
            </w:r>
            <w:r w:rsidR="005A4D67" w:rsidRPr="00297BAD">
              <w:rPr>
                <w:rFonts w:ascii="Times New Roman" w:hAnsi="Times New Roman" w:eastAsia="Times New Roman" w:cs="Times New Roman"/>
                <w:color w:val="000000"/>
                <w:lang w:val="es-MX" w:eastAsia="es-MX"/>
              </w:rPr>
              <w:t>ervices</w:t>
            </w:r>
            <w:r w:rsidRPr="00297BAD">
              <w:rPr>
                <w:rFonts w:ascii="Times New Roman" w:hAnsi="Times New Roman" w:eastAsia="Times New Roman" w:cs="Times New Roman"/>
                <w:color w:val="000000"/>
                <w:lang w:val="es-MX" w:eastAsia="es-MX"/>
              </w:rPr>
              <w:t xml:space="preserve"> - Companies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690841A9"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72100</w:t>
            </w:r>
          </w:p>
        </w:tc>
        <w:tc>
          <w:tcPr>
            <w:tcW w:w="1134" w:type="dxa"/>
            <w:tcBorders>
              <w:top w:val="nil"/>
              <w:left w:val="nil"/>
              <w:bottom w:val="single" w:sz="4" w:space="0" w:color="auto"/>
              <w:right w:val="single" w:sz="4" w:space="0" w:color="auto"/>
            </w:tcBorders>
            <w:shd w:val="clear" w:color="000000" w:fill="DAEEF3"/>
            <w:noWrap/>
            <w:vAlign w:val="bottom"/>
            <w:hideMark/>
          </w:tcPr>
          <w:p w14:paraId="19BC6D8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19,805 </w:t>
            </w:r>
          </w:p>
        </w:tc>
        <w:tc>
          <w:tcPr>
            <w:tcW w:w="1134" w:type="dxa"/>
            <w:tcBorders>
              <w:top w:val="nil"/>
              <w:left w:val="nil"/>
              <w:bottom w:val="single" w:sz="4" w:space="0" w:color="auto"/>
              <w:right w:val="single" w:sz="4" w:space="0" w:color="auto"/>
            </w:tcBorders>
            <w:shd w:val="clear" w:color="000000" w:fill="DAEEF3"/>
            <w:noWrap/>
            <w:vAlign w:val="bottom"/>
            <w:hideMark/>
          </w:tcPr>
          <w:p w14:paraId="2013B42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12,815 </w:t>
            </w:r>
          </w:p>
        </w:tc>
        <w:tc>
          <w:tcPr>
            <w:tcW w:w="993" w:type="dxa"/>
            <w:tcBorders>
              <w:top w:val="nil"/>
              <w:left w:val="nil"/>
              <w:bottom w:val="single" w:sz="4" w:space="0" w:color="auto"/>
              <w:right w:val="single" w:sz="4" w:space="0" w:color="auto"/>
            </w:tcBorders>
            <w:shd w:val="clear" w:color="000000" w:fill="DAEEF3"/>
            <w:noWrap/>
            <w:vAlign w:val="bottom"/>
            <w:hideMark/>
          </w:tcPr>
          <w:p w14:paraId="34C270B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61,500 </w:t>
            </w:r>
          </w:p>
        </w:tc>
        <w:tc>
          <w:tcPr>
            <w:tcW w:w="992" w:type="dxa"/>
            <w:tcBorders>
              <w:top w:val="nil"/>
              <w:left w:val="nil"/>
              <w:bottom w:val="single" w:sz="4" w:space="0" w:color="auto"/>
              <w:right w:val="single" w:sz="4" w:space="0" w:color="auto"/>
            </w:tcBorders>
            <w:shd w:val="clear" w:color="000000" w:fill="DAEEF3"/>
            <w:noWrap/>
            <w:vAlign w:val="bottom"/>
            <w:hideMark/>
          </w:tcPr>
          <w:p w14:paraId="577A317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83,880 </w:t>
            </w:r>
          </w:p>
        </w:tc>
        <w:tc>
          <w:tcPr>
            <w:tcW w:w="992" w:type="dxa"/>
            <w:tcBorders>
              <w:top w:val="nil"/>
              <w:left w:val="nil"/>
              <w:bottom w:val="single" w:sz="4" w:space="0" w:color="auto"/>
              <w:right w:val="single" w:sz="4" w:space="0" w:color="auto"/>
            </w:tcBorders>
            <w:shd w:val="clear" w:color="000000" w:fill="DAEEF3"/>
            <w:noWrap/>
            <w:vAlign w:val="bottom"/>
            <w:hideMark/>
          </w:tcPr>
          <w:p w14:paraId="538771C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45D19E2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178,000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37624832"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5</w:t>
            </w:r>
          </w:p>
        </w:tc>
      </w:tr>
      <w:tr w14:paraId="0C5DD877" w:rsidR="005A4D67" w:rsidRPr="00297BAD" w:rsidTr="00952305">
        <w:trPr>
          <w:trHeight w:val="345"/>
        </w:trPr>
        <w:tc>
          <w:tcPr>
            <w:tcW w:w="1559" w:type="dxa"/>
            <w:vMerge/>
            <w:tcBorders>
              <w:top w:val="nil"/>
              <w:left w:val="single" w:sz="4" w:space="0" w:color="auto"/>
              <w:bottom w:val="single" w:sz="4" w:space="0" w:color="000000"/>
              <w:right w:val="single" w:sz="4" w:space="0" w:color="auto"/>
            </w:tcBorders>
            <w:vAlign w:val="center"/>
            <w:hideMark/>
          </w:tcPr>
          <w:p w14:paraId="385C443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5A2C9498"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017B12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41783218"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Equipment and furniture</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276E3942"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72200</w:t>
            </w:r>
          </w:p>
        </w:tc>
        <w:tc>
          <w:tcPr>
            <w:tcW w:w="1134" w:type="dxa"/>
            <w:tcBorders>
              <w:top w:val="nil"/>
              <w:left w:val="nil"/>
              <w:bottom w:val="single" w:sz="4" w:space="0" w:color="auto"/>
              <w:right w:val="single" w:sz="4" w:space="0" w:color="auto"/>
            </w:tcBorders>
            <w:shd w:val="clear" w:color="000000" w:fill="DAEEF3"/>
            <w:noWrap/>
            <w:vAlign w:val="bottom"/>
            <w:hideMark/>
          </w:tcPr>
          <w:p w14:paraId="2F1F90E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327,368 </w:t>
            </w:r>
          </w:p>
        </w:tc>
        <w:tc>
          <w:tcPr>
            <w:tcW w:w="1134" w:type="dxa"/>
            <w:tcBorders>
              <w:top w:val="nil"/>
              <w:left w:val="nil"/>
              <w:bottom w:val="single" w:sz="4" w:space="0" w:color="auto"/>
              <w:right w:val="single" w:sz="4" w:space="0" w:color="auto"/>
            </w:tcBorders>
            <w:shd w:val="clear" w:color="000000" w:fill="DAEEF3"/>
            <w:noWrap/>
            <w:vAlign w:val="bottom"/>
            <w:hideMark/>
          </w:tcPr>
          <w:p w14:paraId="56B3819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155,615 </w:t>
            </w:r>
          </w:p>
        </w:tc>
        <w:tc>
          <w:tcPr>
            <w:tcW w:w="993" w:type="dxa"/>
            <w:tcBorders>
              <w:top w:val="nil"/>
              <w:left w:val="nil"/>
              <w:bottom w:val="single" w:sz="4" w:space="0" w:color="auto"/>
              <w:right w:val="single" w:sz="4" w:space="0" w:color="auto"/>
            </w:tcBorders>
            <w:shd w:val="clear" w:color="000000" w:fill="DAEEF3"/>
            <w:noWrap/>
            <w:vAlign w:val="bottom"/>
            <w:hideMark/>
          </w:tcPr>
          <w:p w14:paraId="0686F9F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69,163 </w:t>
            </w:r>
          </w:p>
        </w:tc>
        <w:tc>
          <w:tcPr>
            <w:tcW w:w="992" w:type="dxa"/>
            <w:tcBorders>
              <w:top w:val="nil"/>
              <w:left w:val="nil"/>
              <w:bottom w:val="single" w:sz="4" w:space="0" w:color="auto"/>
              <w:right w:val="single" w:sz="4" w:space="0" w:color="auto"/>
            </w:tcBorders>
            <w:shd w:val="clear" w:color="000000" w:fill="DAEEF3"/>
            <w:noWrap/>
            <w:vAlign w:val="bottom"/>
            <w:hideMark/>
          </w:tcPr>
          <w:p w14:paraId="6DDF48B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23,054 </w:t>
            </w:r>
          </w:p>
        </w:tc>
        <w:tc>
          <w:tcPr>
            <w:tcW w:w="992" w:type="dxa"/>
            <w:tcBorders>
              <w:top w:val="nil"/>
              <w:left w:val="nil"/>
              <w:bottom w:val="single" w:sz="4" w:space="0" w:color="auto"/>
              <w:right w:val="single" w:sz="4" w:space="0" w:color="auto"/>
            </w:tcBorders>
            <w:shd w:val="clear" w:color="000000" w:fill="DAEEF3"/>
            <w:noWrap/>
            <w:vAlign w:val="bottom"/>
            <w:hideMark/>
          </w:tcPr>
          <w:p w14:paraId="3AB8044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6BD2CEF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575,200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239D4DB4"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6</w:t>
            </w:r>
          </w:p>
        </w:tc>
      </w:tr>
      <w:tr w14:paraId="7069FF2D" w:rsidR="005A4D67" w:rsidRPr="00297BAD" w:rsidTr="00952305">
        <w:trPr>
          <w:trHeight w:val="315"/>
        </w:trPr>
        <w:tc>
          <w:tcPr>
            <w:tcW w:w="1559" w:type="dxa"/>
            <w:vMerge/>
            <w:tcBorders>
              <w:top w:val="nil"/>
              <w:left w:val="single" w:sz="4" w:space="0" w:color="auto"/>
              <w:bottom w:val="single" w:sz="4" w:space="0" w:color="000000"/>
              <w:right w:val="single" w:sz="4" w:space="0" w:color="auto"/>
            </w:tcBorders>
            <w:vAlign w:val="center"/>
            <w:hideMark/>
          </w:tcPr>
          <w:p w14:paraId="77DE9425"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2763BC9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F92CC1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6556F0B7"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Supplies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1824D05D"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72500</w:t>
            </w:r>
          </w:p>
        </w:tc>
        <w:tc>
          <w:tcPr>
            <w:tcW w:w="1134" w:type="dxa"/>
            <w:tcBorders>
              <w:top w:val="nil"/>
              <w:left w:val="nil"/>
              <w:bottom w:val="single" w:sz="4" w:space="0" w:color="auto"/>
              <w:right w:val="single" w:sz="4" w:space="0" w:color="auto"/>
            </w:tcBorders>
            <w:shd w:val="clear" w:color="000000" w:fill="DAEEF3"/>
            <w:noWrap/>
            <w:vAlign w:val="bottom"/>
            <w:hideMark/>
          </w:tcPr>
          <w:p w14:paraId="673931F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 </w:t>
            </w:r>
          </w:p>
        </w:tc>
        <w:tc>
          <w:tcPr>
            <w:tcW w:w="1134" w:type="dxa"/>
            <w:tcBorders>
              <w:top w:val="nil"/>
              <w:left w:val="nil"/>
              <w:bottom w:val="single" w:sz="4" w:space="0" w:color="auto"/>
              <w:right w:val="single" w:sz="4" w:space="0" w:color="auto"/>
            </w:tcBorders>
            <w:shd w:val="clear" w:color="000000" w:fill="DAEEF3"/>
            <w:noWrap/>
            <w:vAlign w:val="bottom"/>
            <w:hideMark/>
          </w:tcPr>
          <w:p w14:paraId="34F77FA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250 </w:t>
            </w:r>
          </w:p>
        </w:tc>
        <w:tc>
          <w:tcPr>
            <w:tcW w:w="993" w:type="dxa"/>
            <w:tcBorders>
              <w:top w:val="nil"/>
              <w:left w:val="nil"/>
              <w:bottom w:val="single" w:sz="4" w:space="0" w:color="auto"/>
              <w:right w:val="single" w:sz="4" w:space="0" w:color="auto"/>
            </w:tcBorders>
            <w:shd w:val="clear" w:color="000000" w:fill="DAEEF3"/>
            <w:noWrap/>
            <w:vAlign w:val="bottom"/>
            <w:hideMark/>
          </w:tcPr>
          <w:p w14:paraId="7F4E293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250 </w:t>
            </w:r>
          </w:p>
        </w:tc>
        <w:tc>
          <w:tcPr>
            <w:tcW w:w="992" w:type="dxa"/>
            <w:tcBorders>
              <w:top w:val="nil"/>
              <w:left w:val="nil"/>
              <w:bottom w:val="single" w:sz="4" w:space="0" w:color="auto"/>
              <w:right w:val="single" w:sz="4" w:space="0" w:color="auto"/>
            </w:tcBorders>
            <w:shd w:val="clear" w:color="000000" w:fill="DAEEF3"/>
            <w:noWrap/>
            <w:vAlign w:val="bottom"/>
            <w:hideMark/>
          </w:tcPr>
          <w:p w14:paraId="57D0D91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250 </w:t>
            </w:r>
          </w:p>
        </w:tc>
        <w:tc>
          <w:tcPr>
            <w:tcW w:w="992" w:type="dxa"/>
            <w:tcBorders>
              <w:top w:val="nil"/>
              <w:left w:val="nil"/>
              <w:bottom w:val="single" w:sz="4" w:space="0" w:color="auto"/>
              <w:right w:val="single" w:sz="4" w:space="0" w:color="auto"/>
            </w:tcBorders>
            <w:shd w:val="clear" w:color="000000" w:fill="DAEEF3"/>
            <w:noWrap/>
            <w:vAlign w:val="bottom"/>
            <w:hideMark/>
          </w:tcPr>
          <w:p w14:paraId="10A50C1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250 </w:t>
            </w:r>
          </w:p>
        </w:tc>
        <w:tc>
          <w:tcPr>
            <w:tcW w:w="1152" w:type="dxa"/>
            <w:tcBorders>
              <w:top w:val="nil"/>
              <w:left w:val="nil"/>
              <w:bottom w:val="single" w:sz="4" w:space="0" w:color="auto"/>
              <w:right w:val="single" w:sz="4" w:space="0" w:color="auto"/>
            </w:tcBorders>
            <w:shd w:val="clear" w:color="000000" w:fill="DAEEF3"/>
            <w:noWrap/>
            <w:vAlign w:val="bottom"/>
            <w:hideMark/>
          </w:tcPr>
          <w:p w14:paraId="5D004EF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510309E2"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w:t>
            </w:r>
          </w:p>
        </w:tc>
      </w:tr>
      <w:tr w14:paraId="6C87910A"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C3AED37"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38A5BD9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31DB4BF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40827A47"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Premises Alterations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5491052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73200</w:t>
            </w:r>
          </w:p>
        </w:tc>
        <w:tc>
          <w:tcPr>
            <w:tcW w:w="1134" w:type="dxa"/>
            <w:tcBorders>
              <w:top w:val="nil"/>
              <w:left w:val="nil"/>
              <w:bottom w:val="single" w:sz="4" w:space="0" w:color="auto"/>
              <w:right w:val="single" w:sz="4" w:space="0" w:color="auto"/>
            </w:tcBorders>
            <w:shd w:val="clear" w:color="000000" w:fill="DAEEF3"/>
            <w:noWrap/>
            <w:vAlign w:val="bottom"/>
            <w:hideMark/>
          </w:tcPr>
          <w:p w14:paraId="3A8B642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298,584 </w:t>
            </w:r>
          </w:p>
        </w:tc>
        <w:tc>
          <w:tcPr>
            <w:tcW w:w="1134" w:type="dxa"/>
            <w:tcBorders>
              <w:top w:val="nil"/>
              <w:left w:val="nil"/>
              <w:bottom w:val="single" w:sz="4" w:space="0" w:color="auto"/>
              <w:right w:val="single" w:sz="4" w:space="0" w:color="auto"/>
            </w:tcBorders>
            <w:shd w:val="clear" w:color="000000" w:fill="DAEEF3"/>
            <w:noWrap/>
            <w:vAlign w:val="bottom"/>
            <w:hideMark/>
          </w:tcPr>
          <w:p w14:paraId="5BF5540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74,116 </w:t>
            </w:r>
          </w:p>
        </w:tc>
        <w:tc>
          <w:tcPr>
            <w:tcW w:w="993" w:type="dxa"/>
            <w:tcBorders>
              <w:top w:val="nil"/>
              <w:left w:val="nil"/>
              <w:bottom w:val="single" w:sz="4" w:space="0" w:color="auto"/>
              <w:right w:val="single" w:sz="4" w:space="0" w:color="auto"/>
            </w:tcBorders>
            <w:shd w:val="clear" w:color="000000" w:fill="DAEEF3"/>
            <w:noWrap/>
            <w:vAlign w:val="bottom"/>
            <w:hideMark/>
          </w:tcPr>
          <w:p w14:paraId="22F91C6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1778955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131D146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020FA5F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372,700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63C502EB"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8</w:t>
            </w:r>
          </w:p>
        </w:tc>
      </w:tr>
      <w:tr w14:paraId="2F657472"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973F1D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37BE3A4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8C4E51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23FF4CF4"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Professional Services </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270B3DDD"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74100</w:t>
            </w:r>
          </w:p>
        </w:tc>
        <w:tc>
          <w:tcPr>
            <w:tcW w:w="1134" w:type="dxa"/>
            <w:tcBorders>
              <w:top w:val="nil"/>
              <w:left w:val="nil"/>
              <w:bottom w:val="single" w:sz="4" w:space="0" w:color="auto"/>
              <w:right w:val="single" w:sz="4" w:space="0" w:color="auto"/>
            </w:tcBorders>
            <w:shd w:val="clear" w:color="000000" w:fill="DAEEF3"/>
            <w:noWrap/>
            <w:vAlign w:val="bottom"/>
            <w:hideMark/>
          </w:tcPr>
          <w:p w14:paraId="5FE31A2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134" w:type="dxa"/>
            <w:tcBorders>
              <w:top w:val="nil"/>
              <w:left w:val="nil"/>
              <w:bottom w:val="single" w:sz="4" w:space="0" w:color="auto"/>
              <w:right w:val="single" w:sz="4" w:space="0" w:color="auto"/>
            </w:tcBorders>
            <w:shd w:val="clear" w:color="000000" w:fill="DAEEF3"/>
            <w:noWrap/>
            <w:vAlign w:val="bottom"/>
            <w:hideMark/>
          </w:tcPr>
          <w:p w14:paraId="4D8EE75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3" w:type="dxa"/>
            <w:tcBorders>
              <w:top w:val="nil"/>
              <w:left w:val="nil"/>
              <w:bottom w:val="single" w:sz="4" w:space="0" w:color="auto"/>
              <w:right w:val="single" w:sz="4" w:space="0" w:color="auto"/>
            </w:tcBorders>
            <w:shd w:val="clear" w:color="000000" w:fill="DAEEF3"/>
            <w:noWrap/>
            <w:vAlign w:val="bottom"/>
            <w:hideMark/>
          </w:tcPr>
          <w:p w14:paraId="789E427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21DDD95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78AFF78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252FA49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722340BC"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9</w:t>
            </w:r>
          </w:p>
        </w:tc>
      </w:tr>
      <w:tr w14:paraId="3B62A16B"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5E986C2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026AC887"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D0FAF3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608B6B17" w:rsidR="005A4D67" w:rsidRPr="00297BAD" w:rsidRDefault="005A4D67" w:rsidP="005A4D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Audio- Visual print and production cost</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49878885"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74200</w:t>
            </w:r>
          </w:p>
        </w:tc>
        <w:tc>
          <w:tcPr>
            <w:tcW w:w="1134" w:type="dxa"/>
            <w:tcBorders>
              <w:top w:val="nil"/>
              <w:left w:val="nil"/>
              <w:bottom w:val="single" w:sz="4" w:space="0" w:color="auto"/>
              <w:right w:val="single" w:sz="4" w:space="0" w:color="auto"/>
            </w:tcBorders>
            <w:shd w:val="clear" w:color="000000" w:fill="DAEEF3"/>
            <w:noWrap/>
            <w:vAlign w:val="bottom"/>
            <w:hideMark/>
          </w:tcPr>
          <w:p w14:paraId="1317623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18,763 </w:t>
            </w:r>
          </w:p>
        </w:tc>
        <w:tc>
          <w:tcPr>
            <w:tcW w:w="1134" w:type="dxa"/>
            <w:tcBorders>
              <w:top w:val="nil"/>
              <w:left w:val="nil"/>
              <w:bottom w:val="single" w:sz="4" w:space="0" w:color="auto"/>
              <w:right w:val="single" w:sz="4" w:space="0" w:color="auto"/>
            </w:tcBorders>
            <w:shd w:val="clear" w:color="000000" w:fill="DAEEF3"/>
            <w:noWrap/>
            <w:vAlign w:val="bottom"/>
            <w:hideMark/>
          </w:tcPr>
          <w:p w14:paraId="7075283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67,011 </w:t>
            </w:r>
          </w:p>
        </w:tc>
        <w:tc>
          <w:tcPr>
            <w:tcW w:w="993" w:type="dxa"/>
            <w:tcBorders>
              <w:top w:val="nil"/>
              <w:left w:val="nil"/>
              <w:bottom w:val="single" w:sz="4" w:space="0" w:color="auto"/>
              <w:right w:val="single" w:sz="4" w:space="0" w:color="auto"/>
            </w:tcBorders>
            <w:shd w:val="clear" w:color="000000" w:fill="DAEEF3"/>
            <w:noWrap/>
            <w:vAlign w:val="bottom"/>
            <w:hideMark/>
          </w:tcPr>
          <w:p w14:paraId="3AE6A83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6,701 </w:t>
            </w:r>
          </w:p>
        </w:tc>
        <w:tc>
          <w:tcPr>
            <w:tcW w:w="992" w:type="dxa"/>
            <w:tcBorders>
              <w:top w:val="nil"/>
              <w:left w:val="nil"/>
              <w:bottom w:val="single" w:sz="4" w:space="0" w:color="auto"/>
              <w:right w:val="single" w:sz="4" w:space="0" w:color="auto"/>
            </w:tcBorders>
            <w:shd w:val="clear" w:color="000000" w:fill="DAEEF3"/>
            <w:noWrap/>
            <w:vAlign w:val="bottom"/>
            <w:hideMark/>
          </w:tcPr>
          <w:p w14:paraId="62E4A3B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6,635 </w:t>
            </w:r>
          </w:p>
        </w:tc>
        <w:tc>
          <w:tcPr>
            <w:tcW w:w="992" w:type="dxa"/>
            <w:tcBorders>
              <w:top w:val="nil"/>
              <w:left w:val="nil"/>
              <w:bottom w:val="single" w:sz="4" w:space="0" w:color="auto"/>
              <w:right w:val="single" w:sz="4" w:space="0" w:color="auto"/>
            </w:tcBorders>
            <w:shd w:val="clear" w:color="000000" w:fill="DAEEF3"/>
            <w:noWrap/>
            <w:vAlign w:val="bottom"/>
            <w:hideMark/>
          </w:tcPr>
          <w:p w14:paraId="1E0DC3F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1,340 </w:t>
            </w:r>
          </w:p>
        </w:tc>
        <w:tc>
          <w:tcPr>
            <w:tcW w:w="1152" w:type="dxa"/>
            <w:tcBorders>
              <w:top w:val="nil"/>
              <w:left w:val="nil"/>
              <w:bottom w:val="single" w:sz="4" w:space="0" w:color="auto"/>
              <w:right w:val="single" w:sz="4" w:space="0" w:color="auto"/>
            </w:tcBorders>
            <w:shd w:val="clear" w:color="000000" w:fill="DAEEF3"/>
            <w:noWrap/>
            <w:vAlign w:val="bottom"/>
            <w:hideMark/>
          </w:tcPr>
          <w:p w14:paraId="54ABADF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100,450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2D5CCE78"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10</w:t>
            </w:r>
          </w:p>
        </w:tc>
      </w:tr>
      <w:tr w14:paraId="6626FF2B"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31476ACB"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47A7F9B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D70E2CB"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6065FECC"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Miscellaneous Expenses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1446A83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74500</w:t>
            </w:r>
          </w:p>
        </w:tc>
        <w:tc>
          <w:tcPr>
            <w:tcW w:w="1134" w:type="dxa"/>
            <w:tcBorders>
              <w:top w:val="nil"/>
              <w:left w:val="nil"/>
              <w:bottom w:val="single" w:sz="4" w:space="0" w:color="auto"/>
              <w:right w:val="single" w:sz="4" w:space="0" w:color="auto"/>
            </w:tcBorders>
            <w:shd w:val="clear" w:color="000000" w:fill="DAEEF3"/>
            <w:noWrap/>
            <w:vAlign w:val="bottom"/>
            <w:hideMark/>
          </w:tcPr>
          <w:p w14:paraId="0D83262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1134" w:type="dxa"/>
            <w:tcBorders>
              <w:top w:val="nil"/>
              <w:left w:val="nil"/>
              <w:bottom w:val="single" w:sz="4" w:space="0" w:color="auto"/>
              <w:right w:val="single" w:sz="4" w:space="0" w:color="auto"/>
            </w:tcBorders>
            <w:shd w:val="clear" w:color="000000" w:fill="DAEEF3"/>
            <w:noWrap/>
            <w:vAlign w:val="bottom"/>
            <w:hideMark/>
          </w:tcPr>
          <w:p w14:paraId="0191EDC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993" w:type="dxa"/>
            <w:tcBorders>
              <w:top w:val="nil"/>
              <w:left w:val="nil"/>
              <w:bottom w:val="single" w:sz="4" w:space="0" w:color="auto"/>
              <w:right w:val="single" w:sz="4" w:space="0" w:color="auto"/>
            </w:tcBorders>
            <w:shd w:val="clear" w:color="000000" w:fill="DAEEF3"/>
            <w:noWrap/>
            <w:vAlign w:val="bottom"/>
            <w:hideMark/>
          </w:tcPr>
          <w:p w14:paraId="68BF5BE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992" w:type="dxa"/>
            <w:tcBorders>
              <w:top w:val="nil"/>
              <w:left w:val="nil"/>
              <w:bottom w:val="single" w:sz="4" w:space="0" w:color="auto"/>
              <w:right w:val="single" w:sz="4" w:space="0" w:color="auto"/>
            </w:tcBorders>
            <w:shd w:val="clear" w:color="000000" w:fill="DAEEF3"/>
            <w:noWrap/>
            <w:vAlign w:val="bottom"/>
            <w:hideMark/>
          </w:tcPr>
          <w:p w14:paraId="1DC5401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992" w:type="dxa"/>
            <w:tcBorders>
              <w:top w:val="nil"/>
              <w:left w:val="nil"/>
              <w:bottom w:val="single" w:sz="4" w:space="0" w:color="auto"/>
              <w:right w:val="single" w:sz="4" w:space="0" w:color="auto"/>
            </w:tcBorders>
            <w:shd w:val="clear" w:color="000000" w:fill="DAEEF3"/>
            <w:noWrap/>
            <w:vAlign w:val="bottom"/>
            <w:hideMark/>
          </w:tcPr>
          <w:p w14:paraId="7D39455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1152" w:type="dxa"/>
            <w:tcBorders>
              <w:top w:val="nil"/>
              <w:left w:val="nil"/>
              <w:bottom w:val="single" w:sz="4" w:space="0" w:color="auto"/>
              <w:right w:val="single" w:sz="4" w:space="0" w:color="auto"/>
            </w:tcBorders>
            <w:shd w:val="clear" w:color="000000" w:fill="DAEEF3"/>
            <w:noWrap/>
            <w:vAlign w:val="bottom"/>
            <w:hideMark/>
          </w:tcPr>
          <w:p w14:paraId="3689442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33D18C26"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11</w:t>
            </w:r>
          </w:p>
        </w:tc>
      </w:tr>
      <w:tr w14:paraId="6999CE35"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7D1D34D3"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0374229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3E94E8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2A5D13DB"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Training Workshop conference</w:t>
            </w:r>
            <w:r w:rsidR="00647A73" w:rsidRPr="00297BAD">
              <w:rPr>
                <w:rFonts w:ascii="Times New Roman" w:hAnsi="Times New Roman" w:eastAsia="Times New Roman" w:cs="Times New Roman"/>
                <w:color w:val="000000"/>
                <w:lang w:val="es-MX" w:eastAsia="es-MX"/>
              </w:rPr>
              <w: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3FF5C619"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75700</w:t>
            </w:r>
          </w:p>
        </w:tc>
        <w:tc>
          <w:tcPr>
            <w:tcW w:w="1134" w:type="dxa"/>
            <w:tcBorders>
              <w:top w:val="nil"/>
              <w:left w:val="nil"/>
              <w:bottom w:val="single" w:sz="4" w:space="0" w:color="auto"/>
              <w:right w:val="single" w:sz="4" w:space="0" w:color="auto"/>
            </w:tcBorders>
            <w:shd w:val="clear" w:color="000000" w:fill="DAEEF3"/>
            <w:noWrap/>
            <w:vAlign w:val="bottom"/>
            <w:hideMark/>
          </w:tcPr>
          <w:p w14:paraId="0CABA76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134" w:type="dxa"/>
            <w:tcBorders>
              <w:top w:val="nil"/>
              <w:left w:val="nil"/>
              <w:bottom w:val="single" w:sz="4" w:space="0" w:color="auto"/>
              <w:right w:val="single" w:sz="4" w:space="0" w:color="auto"/>
            </w:tcBorders>
            <w:shd w:val="clear" w:color="000000" w:fill="DAEEF3"/>
            <w:noWrap/>
            <w:vAlign w:val="bottom"/>
            <w:hideMark/>
          </w:tcPr>
          <w:p w14:paraId="4E5F398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90,740 </w:t>
            </w:r>
          </w:p>
        </w:tc>
        <w:tc>
          <w:tcPr>
            <w:tcW w:w="993" w:type="dxa"/>
            <w:tcBorders>
              <w:top w:val="nil"/>
              <w:left w:val="nil"/>
              <w:bottom w:val="single" w:sz="4" w:space="0" w:color="auto"/>
              <w:right w:val="single" w:sz="4" w:space="0" w:color="auto"/>
            </w:tcBorders>
            <w:shd w:val="clear" w:color="000000" w:fill="DAEEF3"/>
            <w:noWrap/>
            <w:vAlign w:val="bottom"/>
            <w:hideMark/>
          </w:tcPr>
          <w:p w14:paraId="192E63B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19,463 </w:t>
            </w:r>
          </w:p>
        </w:tc>
        <w:tc>
          <w:tcPr>
            <w:tcW w:w="992" w:type="dxa"/>
            <w:tcBorders>
              <w:top w:val="nil"/>
              <w:left w:val="nil"/>
              <w:bottom w:val="single" w:sz="4" w:space="0" w:color="auto"/>
              <w:right w:val="single" w:sz="4" w:space="0" w:color="auto"/>
            </w:tcBorders>
            <w:shd w:val="clear" w:color="000000" w:fill="DAEEF3"/>
            <w:noWrap/>
            <w:vAlign w:val="bottom"/>
            <w:hideMark/>
          </w:tcPr>
          <w:p w14:paraId="5BF2F80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14,597 </w:t>
            </w:r>
          </w:p>
        </w:tc>
        <w:tc>
          <w:tcPr>
            <w:tcW w:w="992" w:type="dxa"/>
            <w:tcBorders>
              <w:top w:val="nil"/>
              <w:left w:val="nil"/>
              <w:bottom w:val="single" w:sz="4" w:space="0" w:color="auto"/>
              <w:right w:val="single" w:sz="4" w:space="0" w:color="auto"/>
            </w:tcBorders>
            <w:shd w:val="clear" w:color="000000" w:fill="DAEEF3"/>
            <w:noWrap/>
            <w:vAlign w:val="bottom"/>
            <w:hideMark/>
          </w:tcPr>
          <w:p w14:paraId="598A8B7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DAEEF3"/>
            <w:noWrap/>
            <w:vAlign w:val="bottom"/>
            <w:hideMark/>
          </w:tcPr>
          <w:p w14:paraId="15E96D2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124,800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36ED2A41" w:rsidR="005A4D67" w:rsidRPr="00297BAD" w:rsidRDefault="005A4D67" w:rsidP="00647A73">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12</w:t>
            </w:r>
          </w:p>
        </w:tc>
      </w:tr>
      <w:tr w14:paraId="49958BE3"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6EF843C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734FDAB5"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747ECC3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92CDDC"/>
            <w:noWrap/>
            <w:vAlign w:val="bottom"/>
            <w:hideMark/>
          </w:tcPr>
          <w:p w14:paraId="668F4E2B"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Sub-total Outcome 1 </w:t>
            </w:r>
          </w:p>
        </w:tc>
        <w:tc>
          <w:tcPr>
            <w:tcW w:w="992" w:type="dxa"/>
            <w:gridSpan w:val="2"/>
            <w:tcBorders>
              <w:top w:val="nil"/>
              <w:left w:val="nil"/>
              <w:bottom w:val="single" w:sz="4" w:space="0" w:color="auto"/>
              <w:right w:val="single" w:sz="4" w:space="0" w:color="auto"/>
            </w:tcBorders>
            <w:shd w:val="clear" w:color="000000" w:fill="92CDDC"/>
            <w:noWrap/>
            <w:vAlign w:val="bottom"/>
            <w:hideMark/>
          </w:tcPr>
          <w:p w14:paraId="19B0765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92CDDC"/>
            <w:noWrap/>
            <w:vAlign w:val="bottom"/>
            <w:hideMark/>
          </w:tcPr>
          <w:p w14:paraId="7419371B"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733,833 </w:t>
            </w:r>
          </w:p>
        </w:tc>
        <w:tc>
          <w:tcPr>
            <w:tcW w:w="1134" w:type="dxa"/>
            <w:tcBorders>
              <w:top w:val="nil"/>
              <w:left w:val="nil"/>
              <w:bottom w:val="single" w:sz="4" w:space="0" w:color="auto"/>
              <w:right w:val="single" w:sz="4" w:space="0" w:color="auto"/>
            </w:tcBorders>
            <w:shd w:val="clear" w:color="000000" w:fill="92CDDC"/>
            <w:noWrap/>
            <w:vAlign w:val="bottom"/>
            <w:hideMark/>
          </w:tcPr>
          <w:p w14:paraId="76A27E7B"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476,408 </w:t>
            </w:r>
          </w:p>
        </w:tc>
        <w:tc>
          <w:tcPr>
            <w:tcW w:w="993" w:type="dxa"/>
            <w:tcBorders>
              <w:top w:val="nil"/>
              <w:left w:val="nil"/>
              <w:bottom w:val="single" w:sz="4" w:space="0" w:color="auto"/>
              <w:right w:val="single" w:sz="4" w:space="0" w:color="auto"/>
            </w:tcBorders>
            <w:shd w:val="clear" w:color="000000" w:fill="92CDDC"/>
            <w:noWrap/>
            <w:vAlign w:val="bottom"/>
            <w:hideMark/>
          </w:tcPr>
          <w:p w14:paraId="40E43EB1"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278,962 </w:t>
            </w:r>
          </w:p>
        </w:tc>
        <w:tc>
          <w:tcPr>
            <w:tcW w:w="992" w:type="dxa"/>
            <w:tcBorders>
              <w:top w:val="nil"/>
              <w:left w:val="nil"/>
              <w:bottom w:val="single" w:sz="4" w:space="0" w:color="auto"/>
              <w:right w:val="single" w:sz="4" w:space="0" w:color="auto"/>
            </w:tcBorders>
            <w:shd w:val="clear" w:color="000000" w:fill="92CDDC"/>
            <w:noWrap/>
            <w:vAlign w:val="bottom"/>
            <w:hideMark/>
          </w:tcPr>
          <w:p w14:paraId="2E9BAF5C"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188,824 </w:t>
            </w:r>
          </w:p>
        </w:tc>
        <w:tc>
          <w:tcPr>
            <w:tcW w:w="992" w:type="dxa"/>
            <w:tcBorders>
              <w:top w:val="nil"/>
              <w:left w:val="nil"/>
              <w:bottom w:val="single" w:sz="4" w:space="0" w:color="auto"/>
              <w:right w:val="single" w:sz="4" w:space="0" w:color="auto"/>
            </w:tcBorders>
            <w:shd w:val="clear" w:color="000000" w:fill="92CDDC"/>
            <w:noWrap/>
            <w:vAlign w:val="bottom"/>
            <w:hideMark/>
          </w:tcPr>
          <w:p w14:paraId="05E6EDA1"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107,737 </w:t>
            </w:r>
          </w:p>
        </w:tc>
        <w:tc>
          <w:tcPr>
            <w:tcW w:w="1152" w:type="dxa"/>
            <w:tcBorders>
              <w:top w:val="nil"/>
              <w:left w:val="nil"/>
              <w:bottom w:val="single" w:sz="4" w:space="0" w:color="auto"/>
              <w:right w:val="single" w:sz="4" w:space="0" w:color="auto"/>
            </w:tcBorders>
            <w:shd w:val="clear" w:color="000000" w:fill="92CDDC"/>
            <w:noWrap/>
            <w:vAlign w:val="bottom"/>
            <w:hideMark/>
          </w:tcPr>
          <w:p w14:paraId="2B2D5FB0"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1,785,764 </w:t>
            </w:r>
          </w:p>
        </w:tc>
        <w:tc>
          <w:tcPr>
            <w:tcW w:w="1135" w:type="dxa"/>
            <w:gridSpan w:val="2"/>
            <w:tcBorders>
              <w:top w:val="nil"/>
              <w:left w:val="nil"/>
              <w:bottom w:val="single" w:sz="4" w:space="0" w:color="auto"/>
              <w:right w:val="single" w:sz="4" w:space="0" w:color="auto"/>
            </w:tcBorders>
            <w:shd w:val="clear" w:color="000000" w:fill="92CDDC"/>
            <w:vAlign w:val="center"/>
            <w:hideMark/>
          </w:tcPr>
          <w:p w14:paraId="4177DA8F"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w:t>
            </w:r>
          </w:p>
        </w:tc>
      </w:tr>
      <w:tr w14:paraId="64694F50"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17AC7E6F"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709152F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52A3458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40D32C0F" w:rsidR="005A4D67" w:rsidRPr="00297BAD" w:rsidRDefault="005A4D67" w:rsidP="00647A73">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International </w:t>
            </w:r>
            <w:r w:rsidR="00647A73" w:rsidRPr="00297BAD">
              <w:rPr>
                <w:rFonts w:ascii="Times New Roman" w:hAnsi="Times New Roman" w:eastAsia="Times New Roman" w:cs="Times New Roman"/>
                <w:color w:val="000000"/>
                <w:lang w:val="es-MX" w:eastAsia="es-MX"/>
              </w:rPr>
              <w:t>C</w:t>
            </w:r>
            <w:r w:rsidRPr="00297BAD">
              <w:rPr>
                <w:rFonts w:ascii="Times New Roman" w:hAnsi="Times New Roman" w:eastAsia="Times New Roman" w:cs="Times New Roman"/>
                <w:color w:val="000000"/>
                <w:lang w:val="es-MX" w:eastAsia="es-MX"/>
              </w:rPr>
              <w:t>onsultants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0531832A"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71200</w:t>
            </w:r>
          </w:p>
        </w:tc>
        <w:tc>
          <w:tcPr>
            <w:tcW w:w="1134" w:type="dxa"/>
            <w:tcBorders>
              <w:top w:val="nil"/>
              <w:left w:val="nil"/>
              <w:bottom w:val="single" w:sz="4" w:space="0" w:color="auto"/>
              <w:right w:val="single" w:sz="4" w:space="0" w:color="auto"/>
            </w:tcBorders>
            <w:shd w:val="clear" w:color="000000" w:fill="DAEEF3"/>
            <w:noWrap/>
            <w:vAlign w:val="bottom"/>
            <w:hideMark/>
          </w:tcPr>
          <w:p w14:paraId="56866B1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DAEEF3"/>
            <w:noWrap/>
            <w:vAlign w:val="bottom"/>
            <w:hideMark/>
          </w:tcPr>
          <w:p w14:paraId="2CB9DEF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3" w:type="dxa"/>
            <w:tcBorders>
              <w:top w:val="nil"/>
              <w:left w:val="nil"/>
              <w:bottom w:val="single" w:sz="4" w:space="0" w:color="auto"/>
              <w:right w:val="single" w:sz="4" w:space="0" w:color="auto"/>
            </w:tcBorders>
            <w:shd w:val="clear" w:color="000000" w:fill="DAEEF3"/>
            <w:noWrap/>
            <w:vAlign w:val="bottom"/>
            <w:hideMark/>
          </w:tcPr>
          <w:p w14:paraId="5FEDBA4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24,000 </w:t>
            </w:r>
          </w:p>
        </w:tc>
        <w:tc>
          <w:tcPr>
            <w:tcW w:w="992" w:type="dxa"/>
            <w:tcBorders>
              <w:top w:val="nil"/>
              <w:left w:val="nil"/>
              <w:bottom w:val="single" w:sz="4" w:space="0" w:color="auto"/>
              <w:right w:val="single" w:sz="4" w:space="0" w:color="auto"/>
            </w:tcBorders>
            <w:shd w:val="clear" w:color="000000" w:fill="DAEEF3"/>
            <w:noWrap/>
            <w:vAlign w:val="bottom"/>
            <w:hideMark/>
          </w:tcPr>
          <w:p w14:paraId="15FA2D5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6D0105A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32,000 </w:t>
            </w:r>
          </w:p>
        </w:tc>
        <w:tc>
          <w:tcPr>
            <w:tcW w:w="1152" w:type="dxa"/>
            <w:tcBorders>
              <w:top w:val="nil"/>
              <w:left w:val="nil"/>
              <w:bottom w:val="single" w:sz="4" w:space="0" w:color="auto"/>
              <w:right w:val="single" w:sz="4" w:space="0" w:color="auto"/>
            </w:tcBorders>
            <w:shd w:val="clear" w:color="000000" w:fill="DAEEF3"/>
            <w:noWrap/>
            <w:vAlign w:val="bottom"/>
            <w:hideMark/>
          </w:tcPr>
          <w:p w14:paraId="46FD59A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56,000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38878FD5"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 </w:t>
            </w:r>
          </w:p>
        </w:tc>
      </w:tr>
      <w:tr w14:paraId="5E17FDE1"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800068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5EFD94E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4CF89B73"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555472C8"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6E1D6E35"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134" w:type="dxa"/>
            <w:tcBorders>
              <w:top w:val="nil"/>
              <w:left w:val="nil"/>
              <w:bottom w:val="single" w:sz="4" w:space="0" w:color="auto"/>
              <w:right w:val="single" w:sz="4" w:space="0" w:color="auto"/>
            </w:tcBorders>
            <w:shd w:val="clear" w:color="000000" w:fill="DAEEF3"/>
            <w:noWrap/>
            <w:vAlign w:val="bottom"/>
            <w:hideMark/>
          </w:tcPr>
          <w:p w14:paraId="378775A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134" w:type="dxa"/>
            <w:tcBorders>
              <w:top w:val="nil"/>
              <w:left w:val="nil"/>
              <w:bottom w:val="single" w:sz="4" w:space="0" w:color="auto"/>
              <w:right w:val="single" w:sz="4" w:space="0" w:color="auto"/>
            </w:tcBorders>
            <w:shd w:val="clear" w:color="000000" w:fill="DAEEF3"/>
            <w:noWrap/>
            <w:vAlign w:val="bottom"/>
            <w:hideMark/>
          </w:tcPr>
          <w:p w14:paraId="2978D48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3" w:type="dxa"/>
            <w:tcBorders>
              <w:top w:val="nil"/>
              <w:left w:val="nil"/>
              <w:bottom w:val="single" w:sz="4" w:space="0" w:color="auto"/>
              <w:right w:val="single" w:sz="4" w:space="0" w:color="auto"/>
            </w:tcBorders>
            <w:shd w:val="clear" w:color="000000" w:fill="DAEEF3"/>
            <w:noWrap/>
            <w:vAlign w:val="bottom"/>
            <w:hideMark/>
          </w:tcPr>
          <w:p w14:paraId="4AB11C5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2" w:type="dxa"/>
            <w:tcBorders>
              <w:top w:val="nil"/>
              <w:left w:val="nil"/>
              <w:bottom w:val="single" w:sz="4" w:space="0" w:color="auto"/>
              <w:right w:val="single" w:sz="4" w:space="0" w:color="auto"/>
            </w:tcBorders>
            <w:shd w:val="clear" w:color="000000" w:fill="DAEEF3"/>
            <w:noWrap/>
            <w:vAlign w:val="bottom"/>
            <w:hideMark/>
          </w:tcPr>
          <w:p w14:paraId="1E8AE26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2" w:type="dxa"/>
            <w:tcBorders>
              <w:top w:val="nil"/>
              <w:left w:val="nil"/>
              <w:bottom w:val="single" w:sz="4" w:space="0" w:color="auto"/>
              <w:right w:val="single" w:sz="4" w:space="0" w:color="auto"/>
            </w:tcBorders>
            <w:shd w:val="clear" w:color="000000" w:fill="DAEEF3"/>
            <w:noWrap/>
            <w:vAlign w:val="bottom"/>
            <w:hideMark/>
          </w:tcPr>
          <w:p w14:paraId="0E42131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152" w:type="dxa"/>
            <w:tcBorders>
              <w:top w:val="nil"/>
              <w:left w:val="nil"/>
              <w:bottom w:val="single" w:sz="4" w:space="0" w:color="auto"/>
              <w:right w:val="single" w:sz="4" w:space="0" w:color="auto"/>
            </w:tcBorders>
            <w:shd w:val="clear" w:color="000000" w:fill="DAEEF3"/>
            <w:noWrap/>
            <w:vAlign w:val="bottom"/>
            <w:hideMark/>
          </w:tcPr>
          <w:p w14:paraId="74408FA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58,800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3735F1EE"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14 </w:t>
            </w:r>
          </w:p>
        </w:tc>
      </w:tr>
      <w:tr w14:paraId="6388CF09"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2700D0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3D2F0DA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8B58F84"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4E818577"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Travel</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7D8D34EE"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71600</w:t>
            </w:r>
          </w:p>
        </w:tc>
        <w:tc>
          <w:tcPr>
            <w:tcW w:w="1134" w:type="dxa"/>
            <w:tcBorders>
              <w:top w:val="nil"/>
              <w:left w:val="nil"/>
              <w:bottom w:val="single" w:sz="4" w:space="0" w:color="auto"/>
              <w:right w:val="single" w:sz="4" w:space="0" w:color="auto"/>
            </w:tcBorders>
            <w:shd w:val="clear" w:color="000000" w:fill="DAEEF3"/>
            <w:noWrap/>
            <w:vAlign w:val="bottom"/>
            <w:hideMark/>
          </w:tcPr>
          <w:p w14:paraId="48BBEED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DAEEF3"/>
            <w:noWrap/>
            <w:vAlign w:val="bottom"/>
            <w:hideMark/>
          </w:tcPr>
          <w:p w14:paraId="68E5394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3" w:type="dxa"/>
            <w:tcBorders>
              <w:top w:val="nil"/>
              <w:left w:val="nil"/>
              <w:bottom w:val="single" w:sz="4" w:space="0" w:color="auto"/>
              <w:right w:val="single" w:sz="4" w:space="0" w:color="auto"/>
            </w:tcBorders>
            <w:shd w:val="clear" w:color="000000" w:fill="DAEEF3"/>
            <w:noWrap/>
            <w:vAlign w:val="bottom"/>
            <w:hideMark/>
          </w:tcPr>
          <w:p w14:paraId="5B8C76C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8,468 </w:t>
            </w:r>
          </w:p>
        </w:tc>
        <w:tc>
          <w:tcPr>
            <w:tcW w:w="992" w:type="dxa"/>
            <w:tcBorders>
              <w:top w:val="nil"/>
              <w:left w:val="nil"/>
              <w:bottom w:val="single" w:sz="4" w:space="0" w:color="auto"/>
              <w:right w:val="single" w:sz="4" w:space="0" w:color="auto"/>
            </w:tcBorders>
            <w:shd w:val="clear" w:color="000000" w:fill="DAEEF3"/>
            <w:noWrap/>
            <w:vAlign w:val="bottom"/>
            <w:hideMark/>
          </w:tcPr>
          <w:p w14:paraId="74FF28F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DAEEF3"/>
            <w:noWrap/>
            <w:vAlign w:val="bottom"/>
            <w:hideMark/>
          </w:tcPr>
          <w:p w14:paraId="5DCDE69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8,468 </w:t>
            </w:r>
          </w:p>
        </w:tc>
        <w:tc>
          <w:tcPr>
            <w:tcW w:w="1152" w:type="dxa"/>
            <w:tcBorders>
              <w:top w:val="nil"/>
              <w:left w:val="nil"/>
              <w:bottom w:val="single" w:sz="4" w:space="0" w:color="auto"/>
              <w:right w:val="single" w:sz="4" w:space="0" w:color="auto"/>
            </w:tcBorders>
            <w:shd w:val="clear" w:color="000000" w:fill="DAEEF3"/>
            <w:noWrap/>
            <w:vAlign w:val="bottom"/>
            <w:hideMark/>
          </w:tcPr>
          <w:p w14:paraId="468B1E3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16,936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1B1FCBF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 </w:t>
            </w:r>
          </w:p>
        </w:tc>
      </w:tr>
      <w:tr w14:paraId="54590851"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3F63021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0A334B5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69A7D193"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58FE1664"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Professional Services </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064ED510"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74100</w:t>
            </w:r>
          </w:p>
        </w:tc>
        <w:tc>
          <w:tcPr>
            <w:tcW w:w="1134" w:type="dxa"/>
            <w:tcBorders>
              <w:top w:val="nil"/>
              <w:left w:val="nil"/>
              <w:bottom w:val="single" w:sz="4" w:space="0" w:color="auto"/>
              <w:right w:val="single" w:sz="4" w:space="0" w:color="auto"/>
            </w:tcBorders>
            <w:shd w:val="clear" w:color="000000" w:fill="DAEEF3"/>
            <w:noWrap/>
            <w:vAlign w:val="bottom"/>
            <w:hideMark/>
          </w:tcPr>
          <w:p w14:paraId="2D81729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134" w:type="dxa"/>
            <w:tcBorders>
              <w:top w:val="nil"/>
              <w:left w:val="nil"/>
              <w:bottom w:val="single" w:sz="4" w:space="0" w:color="auto"/>
              <w:right w:val="single" w:sz="4" w:space="0" w:color="auto"/>
            </w:tcBorders>
            <w:shd w:val="clear" w:color="000000" w:fill="DAEEF3"/>
            <w:noWrap/>
            <w:vAlign w:val="bottom"/>
            <w:hideMark/>
          </w:tcPr>
          <w:p w14:paraId="2E07BE5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993" w:type="dxa"/>
            <w:tcBorders>
              <w:top w:val="nil"/>
              <w:left w:val="nil"/>
              <w:bottom w:val="single" w:sz="4" w:space="0" w:color="auto"/>
              <w:right w:val="single" w:sz="4" w:space="0" w:color="auto"/>
            </w:tcBorders>
            <w:shd w:val="clear" w:color="000000" w:fill="DAEEF3"/>
            <w:noWrap/>
            <w:vAlign w:val="bottom"/>
            <w:hideMark/>
          </w:tcPr>
          <w:p w14:paraId="3B98787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992" w:type="dxa"/>
            <w:tcBorders>
              <w:top w:val="nil"/>
              <w:left w:val="nil"/>
              <w:bottom w:val="single" w:sz="4" w:space="0" w:color="auto"/>
              <w:right w:val="single" w:sz="4" w:space="0" w:color="auto"/>
            </w:tcBorders>
            <w:shd w:val="clear" w:color="000000" w:fill="DAEEF3"/>
            <w:noWrap/>
            <w:vAlign w:val="bottom"/>
            <w:hideMark/>
          </w:tcPr>
          <w:p w14:paraId="2C19308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992" w:type="dxa"/>
            <w:tcBorders>
              <w:top w:val="nil"/>
              <w:left w:val="nil"/>
              <w:bottom w:val="single" w:sz="4" w:space="0" w:color="auto"/>
              <w:right w:val="single" w:sz="4" w:space="0" w:color="auto"/>
            </w:tcBorders>
            <w:shd w:val="clear" w:color="000000" w:fill="DAEEF3"/>
            <w:noWrap/>
            <w:vAlign w:val="bottom"/>
            <w:hideMark/>
          </w:tcPr>
          <w:p w14:paraId="17A4E98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152" w:type="dxa"/>
            <w:tcBorders>
              <w:top w:val="nil"/>
              <w:left w:val="nil"/>
              <w:bottom w:val="single" w:sz="4" w:space="0" w:color="auto"/>
              <w:right w:val="single" w:sz="4" w:space="0" w:color="auto"/>
            </w:tcBorders>
            <w:shd w:val="clear" w:color="000000" w:fill="DAEEF3"/>
            <w:noWrap/>
            <w:vAlign w:val="bottom"/>
            <w:hideMark/>
          </w:tcPr>
          <w:p w14:paraId="73EBA33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59473C9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 </w:t>
            </w:r>
          </w:p>
        </w:tc>
      </w:tr>
      <w:tr w14:paraId="17C97F6B"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73A5EA0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17FF0604"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19B83300"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79219C0A" w:rsidR="005A4D67" w:rsidRPr="00297BAD" w:rsidRDefault="005A4D67" w:rsidP="005A4D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Audio Visual&amp;Print Prod Costs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624F3FDA"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74200</w:t>
            </w:r>
          </w:p>
        </w:tc>
        <w:tc>
          <w:tcPr>
            <w:tcW w:w="1134" w:type="dxa"/>
            <w:tcBorders>
              <w:top w:val="nil"/>
              <w:left w:val="nil"/>
              <w:bottom w:val="single" w:sz="4" w:space="0" w:color="auto"/>
              <w:right w:val="single" w:sz="4" w:space="0" w:color="auto"/>
            </w:tcBorders>
            <w:shd w:val="clear" w:color="000000" w:fill="DAEEF3"/>
            <w:noWrap/>
            <w:vAlign w:val="bottom"/>
            <w:hideMark/>
          </w:tcPr>
          <w:p w14:paraId="5E62B5D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1,000 </w:t>
            </w:r>
          </w:p>
        </w:tc>
        <w:tc>
          <w:tcPr>
            <w:tcW w:w="1134" w:type="dxa"/>
            <w:tcBorders>
              <w:top w:val="nil"/>
              <w:left w:val="nil"/>
              <w:bottom w:val="single" w:sz="4" w:space="0" w:color="auto"/>
              <w:right w:val="single" w:sz="4" w:space="0" w:color="auto"/>
            </w:tcBorders>
            <w:shd w:val="clear" w:color="000000" w:fill="DAEEF3"/>
            <w:noWrap/>
            <w:vAlign w:val="bottom"/>
            <w:hideMark/>
          </w:tcPr>
          <w:p w14:paraId="099D3A2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1,000 </w:t>
            </w:r>
          </w:p>
        </w:tc>
        <w:tc>
          <w:tcPr>
            <w:tcW w:w="993" w:type="dxa"/>
            <w:tcBorders>
              <w:top w:val="nil"/>
              <w:left w:val="nil"/>
              <w:bottom w:val="single" w:sz="4" w:space="0" w:color="auto"/>
              <w:right w:val="single" w:sz="4" w:space="0" w:color="auto"/>
            </w:tcBorders>
            <w:shd w:val="clear" w:color="000000" w:fill="DAEEF3"/>
            <w:noWrap/>
            <w:vAlign w:val="bottom"/>
            <w:hideMark/>
          </w:tcPr>
          <w:p w14:paraId="21A8B42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1,000 </w:t>
            </w:r>
          </w:p>
        </w:tc>
        <w:tc>
          <w:tcPr>
            <w:tcW w:w="992" w:type="dxa"/>
            <w:tcBorders>
              <w:top w:val="nil"/>
              <w:left w:val="nil"/>
              <w:bottom w:val="single" w:sz="4" w:space="0" w:color="auto"/>
              <w:right w:val="single" w:sz="4" w:space="0" w:color="auto"/>
            </w:tcBorders>
            <w:shd w:val="clear" w:color="000000" w:fill="DAEEF3"/>
            <w:noWrap/>
            <w:vAlign w:val="bottom"/>
            <w:hideMark/>
          </w:tcPr>
          <w:p w14:paraId="14165E0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1,000 </w:t>
            </w:r>
          </w:p>
        </w:tc>
        <w:tc>
          <w:tcPr>
            <w:tcW w:w="992" w:type="dxa"/>
            <w:tcBorders>
              <w:top w:val="nil"/>
              <w:left w:val="nil"/>
              <w:bottom w:val="single" w:sz="4" w:space="0" w:color="auto"/>
              <w:right w:val="single" w:sz="4" w:space="0" w:color="auto"/>
            </w:tcBorders>
            <w:shd w:val="clear" w:color="000000" w:fill="DAEEF3"/>
            <w:noWrap/>
            <w:vAlign w:val="bottom"/>
            <w:hideMark/>
          </w:tcPr>
          <w:p w14:paraId="6F8AD14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1,000 </w:t>
            </w:r>
          </w:p>
        </w:tc>
        <w:tc>
          <w:tcPr>
            <w:tcW w:w="1152" w:type="dxa"/>
            <w:tcBorders>
              <w:top w:val="nil"/>
              <w:left w:val="nil"/>
              <w:bottom w:val="single" w:sz="4" w:space="0" w:color="auto"/>
              <w:right w:val="single" w:sz="4" w:space="0" w:color="auto"/>
            </w:tcBorders>
            <w:shd w:val="clear" w:color="000000" w:fill="DAEEF3"/>
            <w:noWrap/>
            <w:vAlign w:val="bottom"/>
            <w:hideMark/>
          </w:tcPr>
          <w:p w14:paraId="37382AC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4778A7E6"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17 </w:t>
            </w:r>
          </w:p>
        </w:tc>
      </w:tr>
      <w:tr w14:paraId="6F73D0B6"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7E416AC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4FA2568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028B871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DAEEF3"/>
            <w:noWrap/>
            <w:vAlign w:val="bottom"/>
            <w:hideMark/>
          </w:tcPr>
          <w:p w14:paraId="5300DD97"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Training Workshop conference</w:t>
            </w:r>
            <w:r w:rsidR="00647A73" w:rsidRPr="00297BAD">
              <w:rPr>
                <w:rFonts w:ascii="Times New Roman" w:hAnsi="Times New Roman" w:eastAsia="Times New Roman" w:cs="Times New Roman"/>
                <w:color w:val="000000"/>
                <w:lang w:val="es-MX" w:eastAsia="es-MX"/>
              </w:rPr>
              <w:t>s</w:t>
            </w:r>
          </w:p>
        </w:tc>
        <w:tc>
          <w:tcPr>
            <w:tcW w:w="992" w:type="dxa"/>
            <w:gridSpan w:val="2"/>
            <w:tcBorders>
              <w:top w:val="nil"/>
              <w:left w:val="nil"/>
              <w:bottom w:val="single" w:sz="4" w:space="0" w:color="auto"/>
              <w:right w:val="single" w:sz="4" w:space="0" w:color="auto"/>
            </w:tcBorders>
            <w:shd w:val="clear" w:color="000000" w:fill="DAEEF3"/>
            <w:noWrap/>
            <w:vAlign w:val="bottom"/>
            <w:hideMark/>
          </w:tcPr>
          <w:p w14:paraId="012FAE5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75700</w:t>
            </w:r>
          </w:p>
        </w:tc>
        <w:tc>
          <w:tcPr>
            <w:tcW w:w="1134" w:type="dxa"/>
            <w:tcBorders>
              <w:top w:val="nil"/>
              <w:left w:val="nil"/>
              <w:bottom w:val="single" w:sz="4" w:space="0" w:color="auto"/>
              <w:right w:val="single" w:sz="4" w:space="0" w:color="auto"/>
            </w:tcBorders>
            <w:shd w:val="clear" w:color="000000" w:fill="DAEEF3"/>
            <w:noWrap/>
            <w:vAlign w:val="bottom"/>
            <w:hideMark/>
          </w:tcPr>
          <w:p w14:paraId="066D7D3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5,500 </w:t>
            </w:r>
          </w:p>
        </w:tc>
        <w:tc>
          <w:tcPr>
            <w:tcW w:w="1134" w:type="dxa"/>
            <w:tcBorders>
              <w:top w:val="nil"/>
              <w:left w:val="nil"/>
              <w:bottom w:val="single" w:sz="4" w:space="0" w:color="auto"/>
              <w:right w:val="single" w:sz="4" w:space="0" w:color="auto"/>
            </w:tcBorders>
            <w:shd w:val="clear" w:color="000000" w:fill="DAEEF3"/>
            <w:noWrap/>
            <w:vAlign w:val="bottom"/>
            <w:hideMark/>
          </w:tcPr>
          <w:p w14:paraId="3A34A6D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 </w:t>
            </w:r>
          </w:p>
        </w:tc>
        <w:tc>
          <w:tcPr>
            <w:tcW w:w="993" w:type="dxa"/>
            <w:tcBorders>
              <w:top w:val="nil"/>
              <w:left w:val="nil"/>
              <w:bottom w:val="single" w:sz="4" w:space="0" w:color="auto"/>
              <w:right w:val="single" w:sz="4" w:space="0" w:color="auto"/>
            </w:tcBorders>
            <w:shd w:val="clear" w:color="000000" w:fill="DAEEF3"/>
            <w:noWrap/>
            <w:vAlign w:val="bottom"/>
            <w:hideMark/>
          </w:tcPr>
          <w:p w14:paraId="19C465E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 </w:t>
            </w:r>
          </w:p>
        </w:tc>
        <w:tc>
          <w:tcPr>
            <w:tcW w:w="992" w:type="dxa"/>
            <w:tcBorders>
              <w:top w:val="nil"/>
              <w:left w:val="nil"/>
              <w:bottom w:val="single" w:sz="4" w:space="0" w:color="auto"/>
              <w:right w:val="single" w:sz="4" w:space="0" w:color="auto"/>
            </w:tcBorders>
            <w:shd w:val="clear" w:color="000000" w:fill="DAEEF3"/>
            <w:noWrap/>
            <w:vAlign w:val="bottom"/>
            <w:hideMark/>
          </w:tcPr>
          <w:p w14:paraId="7824739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 </w:t>
            </w:r>
          </w:p>
        </w:tc>
        <w:tc>
          <w:tcPr>
            <w:tcW w:w="992" w:type="dxa"/>
            <w:tcBorders>
              <w:top w:val="nil"/>
              <w:left w:val="nil"/>
              <w:bottom w:val="single" w:sz="4" w:space="0" w:color="auto"/>
              <w:right w:val="single" w:sz="4" w:space="0" w:color="auto"/>
            </w:tcBorders>
            <w:shd w:val="clear" w:color="000000" w:fill="DAEEF3"/>
            <w:noWrap/>
            <w:vAlign w:val="bottom"/>
            <w:hideMark/>
          </w:tcPr>
          <w:p w14:paraId="1F45893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500 </w:t>
            </w:r>
          </w:p>
        </w:tc>
        <w:tc>
          <w:tcPr>
            <w:tcW w:w="1152" w:type="dxa"/>
            <w:tcBorders>
              <w:top w:val="nil"/>
              <w:left w:val="nil"/>
              <w:bottom w:val="single" w:sz="4" w:space="0" w:color="auto"/>
              <w:right w:val="single" w:sz="4" w:space="0" w:color="auto"/>
            </w:tcBorders>
            <w:shd w:val="clear" w:color="000000" w:fill="DAEEF3"/>
            <w:noWrap/>
            <w:vAlign w:val="bottom"/>
            <w:hideMark/>
          </w:tcPr>
          <w:p w14:paraId="61094AB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7,500 </w:t>
            </w:r>
          </w:p>
        </w:tc>
        <w:tc>
          <w:tcPr>
            <w:tcW w:w="1135" w:type="dxa"/>
            <w:gridSpan w:val="2"/>
            <w:tcBorders>
              <w:top w:val="nil"/>
              <w:left w:val="nil"/>
              <w:bottom w:val="single" w:sz="4" w:space="0" w:color="auto"/>
              <w:right w:val="single" w:sz="4" w:space="0" w:color="auto"/>
            </w:tcBorders>
            <w:shd w:val="clear" w:color="000000" w:fill="DAEEF3"/>
            <w:vAlign w:val="center"/>
            <w:hideMark/>
          </w:tcPr>
          <w:p w14:paraId="458CCBFF"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 </w:t>
            </w:r>
          </w:p>
        </w:tc>
      </w:tr>
      <w:tr w14:paraId="07F33E06"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6BF1D1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nil"/>
            </w:tcBorders>
            <w:vAlign w:val="center"/>
            <w:hideMark/>
          </w:tcPr>
          <w:p w14:paraId="092E3398"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auto"/>
              <w:right w:val="single" w:sz="4" w:space="0" w:color="auto"/>
            </w:tcBorders>
            <w:vAlign w:val="center"/>
            <w:hideMark/>
          </w:tcPr>
          <w:p w14:paraId="27F05698"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92CDDC"/>
            <w:noWrap/>
            <w:vAlign w:val="bottom"/>
            <w:hideMark/>
          </w:tcPr>
          <w:p w14:paraId="1656DC80"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Sub-total M&amp;E</w:t>
            </w:r>
          </w:p>
        </w:tc>
        <w:tc>
          <w:tcPr>
            <w:tcW w:w="992" w:type="dxa"/>
            <w:gridSpan w:val="2"/>
            <w:tcBorders>
              <w:top w:val="nil"/>
              <w:left w:val="nil"/>
              <w:bottom w:val="single" w:sz="4" w:space="0" w:color="auto"/>
              <w:right w:val="single" w:sz="4" w:space="0" w:color="auto"/>
            </w:tcBorders>
            <w:shd w:val="clear" w:color="000000" w:fill="92CDDC"/>
            <w:noWrap/>
            <w:vAlign w:val="bottom"/>
            <w:hideMark/>
          </w:tcPr>
          <w:p w14:paraId="258A241C"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92CDDC"/>
            <w:noWrap/>
            <w:vAlign w:val="bottom"/>
            <w:hideMark/>
          </w:tcPr>
          <w:p w14:paraId="34C9EC46"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21,260 </w:t>
            </w:r>
          </w:p>
        </w:tc>
        <w:tc>
          <w:tcPr>
            <w:tcW w:w="1134" w:type="dxa"/>
            <w:tcBorders>
              <w:top w:val="nil"/>
              <w:left w:val="nil"/>
              <w:bottom w:val="single" w:sz="4" w:space="0" w:color="auto"/>
              <w:right w:val="single" w:sz="4" w:space="0" w:color="auto"/>
            </w:tcBorders>
            <w:shd w:val="clear" w:color="000000" w:fill="92CDDC"/>
            <w:noWrap/>
            <w:vAlign w:val="bottom"/>
            <w:hideMark/>
          </w:tcPr>
          <w:p w14:paraId="753A48E3"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16,260 </w:t>
            </w:r>
          </w:p>
        </w:tc>
        <w:tc>
          <w:tcPr>
            <w:tcW w:w="993" w:type="dxa"/>
            <w:tcBorders>
              <w:top w:val="nil"/>
              <w:left w:val="nil"/>
              <w:bottom w:val="single" w:sz="4" w:space="0" w:color="auto"/>
              <w:right w:val="single" w:sz="4" w:space="0" w:color="auto"/>
            </w:tcBorders>
            <w:shd w:val="clear" w:color="000000" w:fill="92CDDC"/>
            <w:noWrap/>
            <w:vAlign w:val="bottom"/>
            <w:hideMark/>
          </w:tcPr>
          <w:p w14:paraId="65C3B583"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48,728 </w:t>
            </w:r>
          </w:p>
        </w:tc>
        <w:tc>
          <w:tcPr>
            <w:tcW w:w="992" w:type="dxa"/>
            <w:tcBorders>
              <w:top w:val="nil"/>
              <w:left w:val="nil"/>
              <w:bottom w:val="single" w:sz="4" w:space="0" w:color="auto"/>
              <w:right w:val="single" w:sz="4" w:space="0" w:color="auto"/>
            </w:tcBorders>
            <w:shd w:val="clear" w:color="000000" w:fill="92CDDC"/>
            <w:noWrap/>
            <w:vAlign w:val="bottom"/>
            <w:hideMark/>
          </w:tcPr>
          <w:p w14:paraId="551604D4"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16,260 </w:t>
            </w:r>
          </w:p>
        </w:tc>
        <w:tc>
          <w:tcPr>
            <w:tcW w:w="992" w:type="dxa"/>
            <w:tcBorders>
              <w:top w:val="nil"/>
              <w:left w:val="nil"/>
              <w:bottom w:val="single" w:sz="4" w:space="0" w:color="auto"/>
              <w:right w:val="single" w:sz="4" w:space="0" w:color="auto"/>
            </w:tcBorders>
            <w:shd w:val="clear" w:color="000000" w:fill="92CDDC"/>
            <w:noWrap/>
            <w:vAlign w:val="bottom"/>
            <w:hideMark/>
          </w:tcPr>
          <w:p w14:paraId="50E63347"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56,728 </w:t>
            </w:r>
          </w:p>
        </w:tc>
        <w:tc>
          <w:tcPr>
            <w:tcW w:w="1152" w:type="dxa"/>
            <w:tcBorders>
              <w:top w:val="nil"/>
              <w:left w:val="nil"/>
              <w:bottom w:val="single" w:sz="4" w:space="0" w:color="auto"/>
              <w:right w:val="single" w:sz="4" w:space="0" w:color="auto"/>
            </w:tcBorders>
            <w:shd w:val="clear" w:color="000000" w:fill="92CDDC"/>
            <w:noWrap/>
            <w:vAlign w:val="bottom"/>
            <w:hideMark/>
          </w:tcPr>
          <w:p w14:paraId="41D443C8"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159,236 </w:t>
            </w:r>
          </w:p>
        </w:tc>
        <w:tc>
          <w:tcPr>
            <w:tcW w:w="1135" w:type="dxa"/>
            <w:gridSpan w:val="2"/>
            <w:tcBorders>
              <w:top w:val="nil"/>
              <w:left w:val="nil"/>
              <w:bottom w:val="single" w:sz="4" w:space="0" w:color="auto"/>
              <w:right w:val="single" w:sz="4" w:space="0" w:color="auto"/>
            </w:tcBorders>
            <w:shd w:val="clear" w:color="000000" w:fill="92CDDC"/>
            <w:vAlign w:val="center"/>
            <w:hideMark/>
          </w:tcPr>
          <w:p w14:paraId="7BDD8CEB"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w:t>
            </w:r>
          </w:p>
        </w:tc>
      </w:tr>
      <w:tr w14:paraId="7B7EA6BE" w:rsidR="005A4D67" w:rsidRPr="00297BAD" w:rsidTr="00952305">
        <w:trPr>
          <w:trHeight w:val="300"/>
        </w:trPr>
        <w:tc>
          <w:tcPr>
            <w:tcW w:w="6662" w:type="dxa"/>
            <w:gridSpan w:val="4"/>
            <w:tcBorders>
              <w:top w:val="single" w:sz="4" w:space="0" w:color="auto"/>
              <w:left w:val="single" w:sz="4" w:space="0" w:color="auto"/>
              <w:bottom w:val="single" w:sz="4" w:space="0" w:color="auto"/>
              <w:right w:val="single" w:sz="4" w:space="0" w:color="000000"/>
            </w:tcBorders>
            <w:shd w:val="clear" w:color="000000" w:fill="92CDDC"/>
            <w:noWrap/>
            <w:vAlign w:val="bottom"/>
            <w:hideMark/>
          </w:tcPr>
          <w:p w14:paraId="68286866"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 Outcome 1</w:t>
            </w:r>
          </w:p>
        </w:tc>
        <w:tc>
          <w:tcPr>
            <w:tcW w:w="992" w:type="dxa"/>
            <w:gridSpan w:val="2"/>
            <w:tcBorders>
              <w:top w:val="nil"/>
              <w:left w:val="nil"/>
              <w:bottom w:val="nil"/>
              <w:right w:val="single" w:sz="4" w:space="0" w:color="auto"/>
            </w:tcBorders>
            <w:shd w:val="clear" w:color="000000" w:fill="92CDDC"/>
            <w:noWrap/>
            <w:vAlign w:val="bottom"/>
            <w:hideMark/>
          </w:tcPr>
          <w:p w14:paraId="118291D2"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nil"/>
              <w:right w:val="single" w:sz="4" w:space="0" w:color="auto"/>
            </w:tcBorders>
            <w:shd w:val="clear" w:color="000000" w:fill="92CDDC"/>
            <w:noWrap/>
            <w:vAlign w:val="bottom"/>
            <w:hideMark/>
          </w:tcPr>
          <w:p w14:paraId="32B05431"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755,093 </w:t>
            </w:r>
          </w:p>
        </w:tc>
        <w:tc>
          <w:tcPr>
            <w:tcW w:w="1134" w:type="dxa"/>
            <w:tcBorders>
              <w:top w:val="nil"/>
              <w:left w:val="nil"/>
              <w:bottom w:val="nil"/>
              <w:right w:val="single" w:sz="4" w:space="0" w:color="auto"/>
            </w:tcBorders>
            <w:shd w:val="clear" w:color="000000" w:fill="92CDDC"/>
            <w:noWrap/>
            <w:vAlign w:val="bottom"/>
            <w:hideMark/>
          </w:tcPr>
          <w:p w14:paraId="2B4CA40B"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492,668 </w:t>
            </w:r>
          </w:p>
        </w:tc>
        <w:tc>
          <w:tcPr>
            <w:tcW w:w="993" w:type="dxa"/>
            <w:tcBorders>
              <w:top w:val="nil"/>
              <w:left w:val="nil"/>
              <w:bottom w:val="nil"/>
              <w:right w:val="single" w:sz="4" w:space="0" w:color="auto"/>
            </w:tcBorders>
            <w:shd w:val="clear" w:color="000000" w:fill="92CDDC"/>
            <w:noWrap/>
            <w:vAlign w:val="bottom"/>
            <w:hideMark/>
          </w:tcPr>
          <w:p w14:paraId="1AA87A09"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327,690 </w:t>
            </w:r>
          </w:p>
        </w:tc>
        <w:tc>
          <w:tcPr>
            <w:tcW w:w="992" w:type="dxa"/>
            <w:tcBorders>
              <w:top w:val="nil"/>
              <w:left w:val="nil"/>
              <w:bottom w:val="nil"/>
              <w:right w:val="single" w:sz="4" w:space="0" w:color="auto"/>
            </w:tcBorders>
            <w:shd w:val="clear" w:color="000000" w:fill="92CDDC"/>
            <w:noWrap/>
            <w:vAlign w:val="bottom"/>
            <w:hideMark/>
          </w:tcPr>
          <w:p w14:paraId="326FA6C8"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205,084 </w:t>
            </w:r>
          </w:p>
        </w:tc>
        <w:tc>
          <w:tcPr>
            <w:tcW w:w="992" w:type="dxa"/>
            <w:tcBorders>
              <w:top w:val="nil"/>
              <w:left w:val="nil"/>
              <w:bottom w:val="nil"/>
              <w:right w:val="single" w:sz="4" w:space="0" w:color="auto"/>
            </w:tcBorders>
            <w:shd w:val="clear" w:color="000000" w:fill="92CDDC"/>
            <w:noWrap/>
            <w:vAlign w:val="bottom"/>
            <w:hideMark/>
          </w:tcPr>
          <w:p w14:paraId="11856E7E"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164,465 </w:t>
            </w:r>
          </w:p>
        </w:tc>
        <w:tc>
          <w:tcPr>
            <w:tcW w:w="1152" w:type="dxa"/>
            <w:tcBorders>
              <w:top w:val="nil"/>
              <w:left w:val="nil"/>
              <w:bottom w:val="nil"/>
              <w:right w:val="single" w:sz="4" w:space="0" w:color="auto"/>
            </w:tcBorders>
            <w:shd w:val="clear" w:color="000000" w:fill="92CDDC"/>
            <w:noWrap/>
            <w:vAlign w:val="bottom"/>
            <w:hideMark/>
          </w:tcPr>
          <w:p w14:paraId="16DB0459"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1,945,000 </w:t>
            </w:r>
          </w:p>
        </w:tc>
        <w:tc>
          <w:tcPr>
            <w:tcW w:w="1135" w:type="dxa"/>
            <w:gridSpan w:val="2"/>
            <w:tcBorders>
              <w:top w:val="nil"/>
              <w:left w:val="nil"/>
              <w:bottom w:val="single" w:sz="4" w:space="0" w:color="auto"/>
              <w:right w:val="single" w:sz="4" w:space="0" w:color="auto"/>
            </w:tcBorders>
            <w:shd w:val="clear" w:color="000000" w:fill="92CDDC"/>
            <w:vAlign w:val="center"/>
            <w:hideMark/>
          </w:tcPr>
          <w:p w14:paraId="2F4007C8"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r>
      <w:tr w14:paraId="5E6567CC" w:rsidR="005A4D67" w:rsidRPr="00297BAD" w:rsidTr="00952305">
        <w:trPr>
          <w:trHeight w:val="300"/>
        </w:trPr>
        <w:tc>
          <w:tcPr>
            <w:tcW w:w="155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390CF158"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2</w:t>
            </w:r>
          </w:p>
        </w:tc>
        <w:tc>
          <w:tcPr>
            <w:tcW w:w="1418"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591852F5" w:rsidR="005A4D67" w:rsidRPr="00297BAD" w:rsidRDefault="005A4D67" w:rsidP="005A4D67">
            <w:pPr>
              <w:spacing w:after="0" w:line="240" w:lineRule="auto"/>
              <w:jc w:val="center"/>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Ministry of Agriculture, Lands, Forestry, Fisheries and the Environment (MoA)</w:t>
            </w:r>
          </w:p>
        </w:tc>
        <w:tc>
          <w:tcPr>
            <w:tcW w:w="113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16753B3A"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62000</w:t>
            </w:r>
          </w:p>
        </w:tc>
        <w:tc>
          <w:tcPr>
            <w:tcW w:w="2551" w:type="dxa"/>
            <w:tcBorders>
              <w:top w:val="nil"/>
              <w:left w:val="nil"/>
              <w:bottom w:val="single" w:sz="4" w:space="0" w:color="auto"/>
              <w:right w:val="single" w:sz="4" w:space="0" w:color="auto"/>
            </w:tcBorders>
            <w:shd w:val="clear" w:color="000000" w:fill="FDE9D9"/>
            <w:noWrap/>
            <w:vAlign w:val="bottom"/>
            <w:hideMark/>
          </w:tcPr>
          <w:p w14:paraId="6D7E2601"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Local Consultants</w:t>
            </w:r>
          </w:p>
        </w:tc>
        <w:tc>
          <w:tcPr>
            <w:tcW w:w="992" w:type="dxa"/>
            <w:gridSpan w:val="2"/>
            <w:tcBorders>
              <w:top w:val="single" w:sz="4" w:space="0" w:color="auto"/>
              <w:left w:val="nil"/>
              <w:bottom w:val="single" w:sz="4" w:space="0" w:color="auto"/>
              <w:right w:val="single" w:sz="4" w:space="0" w:color="auto"/>
            </w:tcBorders>
            <w:shd w:val="clear" w:color="000000" w:fill="FDE9D9"/>
            <w:noWrap/>
            <w:vAlign w:val="bottom"/>
            <w:hideMark/>
          </w:tcPr>
          <w:p w14:paraId="1F1295BE"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71300</w:t>
            </w:r>
          </w:p>
        </w:tc>
        <w:tc>
          <w:tcPr>
            <w:tcW w:w="1134" w:type="dxa"/>
            <w:tcBorders>
              <w:top w:val="single" w:sz="4" w:space="0" w:color="auto"/>
              <w:left w:val="nil"/>
              <w:bottom w:val="single" w:sz="4" w:space="0" w:color="auto"/>
              <w:right w:val="single" w:sz="4" w:space="0" w:color="auto"/>
            </w:tcBorders>
            <w:shd w:val="clear" w:color="000000" w:fill="FDE9D9"/>
            <w:noWrap/>
            <w:vAlign w:val="bottom"/>
            <w:hideMark/>
          </w:tcPr>
          <w:p w14:paraId="7E05198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single" w:sz="4" w:space="0" w:color="auto"/>
              <w:left w:val="nil"/>
              <w:bottom w:val="single" w:sz="4" w:space="0" w:color="auto"/>
              <w:right w:val="single" w:sz="4" w:space="0" w:color="auto"/>
            </w:tcBorders>
            <w:shd w:val="clear" w:color="000000" w:fill="FDE9D9"/>
            <w:noWrap/>
            <w:vAlign w:val="bottom"/>
            <w:hideMark/>
          </w:tcPr>
          <w:p w14:paraId="7B81767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61,433 </w:t>
            </w:r>
          </w:p>
        </w:tc>
        <w:tc>
          <w:tcPr>
            <w:tcW w:w="993" w:type="dxa"/>
            <w:tcBorders>
              <w:top w:val="single" w:sz="4" w:space="0" w:color="auto"/>
              <w:left w:val="nil"/>
              <w:bottom w:val="single" w:sz="4" w:space="0" w:color="auto"/>
              <w:right w:val="single" w:sz="4" w:space="0" w:color="auto"/>
            </w:tcBorders>
            <w:shd w:val="clear" w:color="000000" w:fill="FDE9D9"/>
            <w:noWrap/>
            <w:vAlign w:val="bottom"/>
            <w:hideMark/>
          </w:tcPr>
          <w:p w14:paraId="78B97CC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57,621 </w:t>
            </w:r>
          </w:p>
        </w:tc>
        <w:tc>
          <w:tcPr>
            <w:tcW w:w="992" w:type="dxa"/>
            <w:tcBorders>
              <w:top w:val="single" w:sz="4" w:space="0" w:color="auto"/>
              <w:left w:val="nil"/>
              <w:bottom w:val="single" w:sz="4" w:space="0" w:color="auto"/>
              <w:right w:val="single" w:sz="4" w:space="0" w:color="auto"/>
            </w:tcBorders>
            <w:shd w:val="clear" w:color="000000" w:fill="FDE9D9"/>
            <w:noWrap/>
            <w:vAlign w:val="bottom"/>
            <w:hideMark/>
          </w:tcPr>
          <w:p w14:paraId="38AEE84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80,580 </w:t>
            </w:r>
          </w:p>
        </w:tc>
        <w:tc>
          <w:tcPr>
            <w:tcW w:w="992" w:type="dxa"/>
            <w:tcBorders>
              <w:top w:val="single" w:sz="4" w:space="0" w:color="auto"/>
              <w:left w:val="nil"/>
              <w:bottom w:val="single" w:sz="4" w:space="0" w:color="auto"/>
              <w:right w:val="single" w:sz="4" w:space="0" w:color="auto"/>
            </w:tcBorders>
            <w:shd w:val="clear" w:color="000000" w:fill="FDE9D9"/>
            <w:noWrap/>
            <w:vAlign w:val="bottom"/>
            <w:hideMark/>
          </w:tcPr>
          <w:p w14:paraId="3394D00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124,226 </w:t>
            </w:r>
          </w:p>
        </w:tc>
        <w:tc>
          <w:tcPr>
            <w:tcW w:w="1152" w:type="dxa"/>
            <w:tcBorders>
              <w:top w:val="single" w:sz="4" w:space="0" w:color="auto"/>
              <w:left w:val="nil"/>
              <w:bottom w:val="single" w:sz="4" w:space="0" w:color="auto"/>
              <w:right w:val="single" w:sz="4" w:space="0" w:color="auto"/>
            </w:tcBorders>
            <w:shd w:val="clear" w:color="000000" w:fill="FDE9D9"/>
            <w:noWrap/>
            <w:vAlign w:val="bottom"/>
            <w:hideMark/>
          </w:tcPr>
          <w:p w14:paraId="5A5C01D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323,860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17A398B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 </w:t>
            </w:r>
          </w:p>
        </w:tc>
      </w:tr>
      <w:tr w14:paraId="006F0689"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79B85D87"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7DBF8185"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4A00AD2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026E3E85"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Travel</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523E5F02"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71600</w:t>
            </w:r>
          </w:p>
        </w:tc>
        <w:tc>
          <w:tcPr>
            <w:tcW w:w="1134" w:type="dxa"/>
            <w:tcBorders>
              <w:top w:val="nil"/>
              <w:left w:val="nil"/>
              <w:bottom w:val="single" w:sz="4" w:space="0" w:color="auto"/>
              <w:right w:val="single" w:sz="4" w:space="0" w:color="auto"/>
            </w:tcBorders>
            <w:shd w:val="clear" w:color="000000" w:fill="FDE9D9"/>
            <w:noWrap/>
            <w:vAlign w:val="bottom"/>
            <w:hideMark/>
          </w:tcPr>
          <w:p w14:paraId="09B01B3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292B65F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9,550 </w:t>
            </w:r>
          </w:p>
        </w:tc>
        <w:tc>
          <w:tcPr>
            <w:tcW w:w="993" w:type="dxa"/>
            <w:tcBorders>
              <w:top w:val="nil"/>
              <w:left w:val="nil"/>
              <w:bottom w:val="single" w:sz="4" w:space="0" w:color="auto"/>
              <w:right w:val="single" w:sz="4" w:space="0" w:color="auto"/>
            </w:tcBorders>
            <w:shd w:val="clear" w:color="000000" w:fill="FDE9D9"/>
            <w:noWrap/>
            <w:vAlign w:val="bottom"/>
            <w:hideMark/>
          </w:tcPr>
          <w:p w14:paraId="7EBC234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420 </w:t>
            </w:r>
          </w:p>
        </w:tc>
        <w:tc>
          <w:tcPr>
            <w:tcW w:w="992" w:type="dxa"/>
            <w:tcBorders>
              <w:top w:val="nil"/>
              <w:left w:val="nil"/>
              <w:bottom w:val="single" w:sz="4" w:space="0" w:color="auto"/>
              <w:right w:val="single" w:sz="4" w:space="0" w:color="auto"/>
            </w:tcBorders>
            <w:shd w:val="clear" w:color="000000" w:fill="FDE9D9"/>
            <w:noWrap/>
            <w:vAlign w:val="bottom"/>
            <w:hideMark/>
          </w:tcPr>
          <w:p w14:paraId="40B7435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18,100 </w:t>
            </w:r>
          </w:p>
        </w:tc>
        <w:tc>
          <w:tcPr>
            <w:tcW w:w="992" w:type="dxa"/>
            <w:tcBorders>
              <w:top w:val="nil"/>
              <w:left w:val="nil"/>
              <w:bottom w:val="single" w:sz="4" w:space="0" w:color="auto"/>
              <w:right w:val="single" w:sz="4" w:space="0" w:color="auto"/>
            </w:tcBorders>
            <w:shd w:val="clear" w:color="000000" w:fill="FDE9D9"/>
            <w:noWrap/>
            <w:vAlign w:val="bottom"/>
            <w:hideMark/>
          </w:tcPr>
          <w:p w14:paraId="572350A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5,500 </w:t>
            </w:r>
          </w:p>
        </w:tc>
        <w:tc>
          <w:tcPr>
            <w:tcW w:w="1152" w:type="dxa"/>
            <w:tcBorders>
              <w:top w:val="nil"/>
              <w:left w:val="nil"/>
              <w:bottom w:val="single" w:sz="4" w:space="0" w:color="auto"/>
              <w:right w:val="single" w:sz="4" w:space="0" w:color="auto"/>
            </w:tcBorders>
            <w:shd w:val="clear" w:color="000000" w:fill="FDE9D9"/>
            <w:noWrap/>
            <w:vAlign w:val="bottom"/>
            <w:hideMark/>
          </w:tcPr>
          <w:p w14:paraId="05B1079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33,570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1E4514D5"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20 </w:t>
            </w:r>
          </w:p>
        </w:tc>
      </w:tr>
      <w:tr w14:paraId="28B21503"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671411B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4CD7CF8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049D0F3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2E99A3F4" w:rsidR="005A4D67" w:rsidRPr="00297BAD" w:rsidRDefault="00647A73" w:rsidP="00647A73">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w:t>
            </w:r>
            <w:r w:rsidR="005A4D67" w:rsidRPr="00297BAD">
              <w:rPr>
                <w:rFonts w:ascii="Times New Roman" w:hAnsi="Times New Roman" w:eastAsia="Times New Roman" w:cs="Times New Roman"/>
                <w:color w:val="000000"/>
                <w:lang w:val="es-MX" w:eastAsia="es-MX"/>
              </w:rPr>
              <w:t>ontract</w:t>
            </w:r>
            <w:r w:rsidRPr="00297BAD">
              <w:rPr>
                <w:rFonts w:ascii="Times New Roman" w:hAnsi="Times New Roman" w:eastAsia="Times New Roman" w:cs="Times New Roman"/>
                <w:color w:val="000000"/>
                <w:lang w:val="es-MX" w:eastAsia="es-MX"/>
              </w:rPr>
              <w:t>ual</w:t>
            </w:r>
            <w:r w:rsidR="005A4D67" w:rsidRPr="00297BAD">
              <w:rPr>
                <w:rFonts w:ascii="Times New Roman" w:hAnsi="Times New Roman" w:eastAsia="Times New Roman" w:cs="Times New Roman"/>
                <w:color w:val="000000"/>
                <w:lang w:val="es-MX" w:eastAsia="es-MX"/>
              </w:rPr>
              <w:t xml:space="preserve"> </w:t>
            </w:r>
            <w:r w:rsidRPr="00297BAD">
              <w:rPr>
                <w:rFonts w:ascii="Times New Roman" w:hAnsi="Times New Roman" w:eastAsia="Times New Roman" w:cs="Times New Roman"/>
                <w:color w:val="000000"/>
                <w:lang w:val="es-MX" w:eastAsia="es-MX"/>
              </w:rPr>
              <w:t>S</w:t>
            </w:r>
            <w:r w:rsidR="005A4D67" w:rsidRPr="00297BAD">
              <w:rPr>
                <w:rFonts w:ascii="Times New Roman" w:hAnsi="Times New Roman" w:eastAsia="Times New Roman" w:cs="Times New Roman"/>
                <w:color w:val="000000"/>
                <w:lang w:val="es-MX" w:eastAsia="es-MX"/>
              </w:rPr>
              <w:t>ervices</w:t>
            </w:r>
            <w:r w:rsidRPr="00297BAD">
              <w:rPr>
                <w:rFonts w:ascii="Times New Roman" w:hAnsi="Times New Roman" w:eastAsia="Times New Roman" w:cs="Times New Roman"/>
                <w:color w:val="000000"/>
                <w:lang w:val="es-MX" w:eastAsia="es-MX"/>
              </w:rPr>
              <w:t xml:space="preserve"> - Companies</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34075D81"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72100</w:t>
            </w:r>
          </w:p>
        </w:tc>
        <w:tc>
          <w:tcPr>
            <w:tcW w:w="1134" w:type="dxa"/>
            <w:tcBorders>
              <w:top w:val="nil"/>
              <w:left w:val="nil"/>
              <w:bottom w:val="single" w:sz="4" w:space="0" w:color="auto"/>
              <w:right w:val="single" w:sz="4" w:space="0" w:color="auto"/>
            </w:tcBorders>
            <w:shd w:val="clear" w:color="000000" w:fill="FDE9D9"/>
            <w:noWrap/>
            <w:vAlign w:val="bottom"/>
            <w:hideMark/>
          </w:tcPr>
          <w:p w14:paraId="711839A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177F155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53,526 </w:t>
            </w:r>
          </w:p>
        </w:tc>
        <w:tc>
          <w:tcPr>
            <w:tcW w:w="993" w:type="dxa"/>
            <w:tcBorders>
              <w:top w:val="nil"/>
              <w:left w:val="nil"/>
              <w:bottom w:val="single" w:sz="4" w:space="0" w:color="auto"/>
              <w:right w:val="single" w:sz="4" w:space="0" w:color="auto"/>
            </w:tcBorders>
            <w:shd w:val="clear" w:color="000000" w:fill="FDE9D9"/>
            <w:noWrap/>
            <w:vAlign w:val="bottom"/>
            <w:hideMark/>
          </w:tcPr>
          <w:p w14:paraId="2AC8CBC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15,985 </w:t>
            </w:r>
          </w:p>
        </w:tc>
        <w:tc>
          <w:tcPr>
            <w:tcW w:w="992" w:type="dxa"/>
            <w:tcBorders>
              <w:top w:val="nil"/>
              <w:left w:val="nil"/>
              <w:bottom w:val="single" w:sz="4" w:space="0" w:color="auto"/>
              <w:right w:val="single" w:sz="4" w:space="0" w:color="auto"/>
            </w:tcBorders>
            <w:shd w:val="clear" w:color="000000" w:fill="FDE9D9"/>
            <w:noWrap/>
            <w:vAlign w:val="bottom"/>
            <w:hideMark/>
          </w:tcPr>
          <w:p w14:paraId="6EE3653F"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11,989 </w:t>
            </w:r>
          </w:p>
        </w:tc>
        <w:tc>
          <w:tcPr>
            <w:tcW w:w="992" w:type="dxa"/>
            <w:tcBorders>
              <w:top w:val="nil"/>
              <w:left w:val="nil"/>
              <w:bottom w:val="single" w:sz="4" w:space="0" w:color="auto"/>
              <w:right w:val="single" w:sz="4" w:space="0" w:color="auto"/>
            </w:tcBorders>
            <w:shd w:val="clear" w:color="000000" w:fill="FDE9D9"/>
            <w:noWrap/>
            <w:vAlign w:val="bottom"/>
            <w:hideMark/>
          </w:tcPr>
          <w:p w14:paraId="3D3E898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FDE9D9"/>
            <w:noWrap/>
            <w:vAlign w:val="bottom"/>
            <w:hideMark/>
          </w:tcPr>
          <w:p w14:paraId="0F14E8E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81,500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474BC64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21 </w:t>
            </w:r>
          </w:p>
        </w:tc>
      </w:tr>
      <w:tr w14:paraId="5627B325"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67BE9BF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59948E5F"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582CB67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09255B85" w:rsidR="005A4D67" w:rsidRPr="00297BAD" w:rsidRDefault="005A4D67" w:rsidP="00647A73">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Equipment and </w:t>
            </w:r>
            <w:r w:rsidR="00647A73" w:rsidRPr="00297BAD">
              <w:rPr>
                <w:rFonts w:ascii="Times New Roman" w:hAnsi="Times New Roman" w:eastAsia="Times New Roman" w:cs="Times New Roman"/>
                <w:color w:val="000000"/>
                <w:lang w:val="es-MX" w:eastAsia="es-MX"/>
              </w:rPr>
              <w:t>F</w:t>
            </w:r>
            <w:r w:rsidRPr="00297BAD">
              <w:rPr>
                <w:rFonts w:ascii="Times New Roman" w:hAnsi="Times New Roman" w:eastAsia="Times New Roman" w:cs="Times New Roman"/>
                <w:color w:val="000000"/>
                <w:lang w:val="es-MX" w:eastAsia="es-MX"/>
              </w:rPr>
              <w:t>urniture</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4848BCE0"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72200</w:t>
            </w:r>
          </w:p>
        </w:tc>
        <w:tc>
          <w:tcPr>
            <w:tcW w:w="1134" w:type="dxa"/>
            <w:tcBorders>
              <w:top w:val="nil"/>
              <w:left w:val="nil"/>
              <w:bottom w:val="single" w:sz="4" w:space="0" w:color="auto"/>
              <w:right w:val="single" w:sz="4" w:space="0" w:color="auto"/>
            </w:tcBorders>
            <w:shd w:val="clear" w:color="000000" w:fill="FDE9D9"/>
            <w:noWrap/>
            <w:vAlign w:val="bottom"/>
            <w:hideMark/>
          </w:tcPr>
          <w:p w14:paraId="2122A4E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5084CFB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106,645 </w:t>
            </w:r>
          </w:p>
        </w:tc>
        <w:tc>
          <w:tcPr>
            <w:tcW w:w="993" w:type="dxa"/>
            <w:tcBorders>
              <w:top w:val="nil"/>
              <w:left w:val="nil"/>
              <w:bottom w:val="single" w:sz="4" w:space="0" w:color="auto"/>
              <w:right w:val="single" w:sz="4" w:space="0" w:color="auto"/>
            </w:tcBorders>
            <w:shd w:val="clear" w:color="000000" w:fill="FDE9D9"/>
            <w:noWrap/>
            <w:vAlign w:val="bottom"/>
            <w:hideMark/>
          </w:tcPr>
          <w:p w14:paraId="11138B4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22,875 </w:t>
            </w:r>
          </w:p>
        </w:tc>
        <w:tc>
          <w:tcPr>
            <w:tcW w:w="992" w:type="dxa"/>
            <w:tcBorders>
              <w:top w:val="nil"/>
              <w:left w:val="nil"/>
              <w:bottom w:val="single" w:sz="4" w:space="0" w:color="auto"/>
              <w:right w:val="single" w:sz="4" w:space="0" w:color="auto"/>
            </w:tcBorders>
            <w:shd w:val="clear" w:color="000000" w:fill="FDE9D9"/>
            <w:noWrap/>
            <w:vAlign w:val="bottom"/>
            <w:hideMark/>
          </w:tcPr>
          <w:p w14:paraId="38F7F6A9"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17,156 </w:t>
            </w:r>
          </w:p>
        </w:tc>
        <w:tc>
          <w:tcPr>
            <w:tcW w:w="992" w:type="dxa"/>
            <w:tcBorders>
              <w:top w:val="nil"/>
              <w:left w:val="nil"/>
              <w:bottom w:val="single" w:sz="4" w:space="0" w:color="auto"/>
              <w:right w:val="single" w:sz="4" w:space="0" w:color="auto"/>
            </w:tcBorders>
            <w:shd w:val="clear" w:color="000000" w:fill="FDE9D9"/>
            <w:noWrap/>
            <w:vAlign w:val="bottom"/>
            <w:hideMark/>
          </w:tcPr>
          <w:p w14:paraId="2D8D228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FDE9D9"/>
            <w:noWrap/>
            <w:vAlign w:val="bottom"/>
            <w:hideMark/>
          </w:tcPr>
          <w:p w14:paraId="50A7CCD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146,676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30016843"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22 </w:t>
            </w:r>
          </w:p>
        </w:tc>
      </w:tr>
      <w:tr w14:paraId="3F470F7B"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0D2AE926"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0614A1D3"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5FA9448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7855AE07"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Materials and Goods</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01F5024A"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72300</w:t>
            </w:r>
          </w:p>
        </w:tc>
        <w:tc>
          <w:tcPr>
            <w:tcW w:w="1134" w:type="dxa"/>
            <w:tcBorders>
              <w:top w:val="nil"/>
              <w:left w:val="nil"/>
              <w:bottom w:val="single" w:sz="4" w:space="0" w:color="auto"/>
              <w:right w:val="single" w:sz="4" w:space="0" w:color="auto"/>
            </w:tcBorders>
            <w:shd w:val="clear" w:color="000000" w:fill="FDE9D9"/>
            <w:noWrap/>
            <w:vAlign w:val="bottom"/>
            <w:hideMark/>
          </w:tcPr>
          <w:p w14:paraId="10C433A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4F39112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19,051 </w:t>
            </w:r>
          </w:p>
        </w:tc>
        <w:tc>
          <w:tcPr>
            <w:tcW w:w="993" w:type="dxa"/>
            <w:tcBorders>
              <w:top w:val="nil"/>
              <w:left w:val="nil"/>
              <w:bottom w:val="single" w:sz="4" w:space="0" w:color="auto"/>
              <w:right w:val="single" w:sz="4" w:space="0" w:color="auto"/>
            </w:tcBorders>
            <w:shd w:val="clear" w:color="000000" w:fill="FDE9D9"/>
            <w:noWrap/>
            <w:vAlign w:val="bottom"/>
            <w:hideMark/>
          </w:tcPr>
          <w:p w14:paraId="766080B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29,645 </w:t>
            </w:r>
          </w:p>
        </w:tc>
        <w:tc>
          <w:tcPr>
            <w:tcW w:w="992" w:type="dxa"/>
            <w:tcBorders>
              <w:top w:val="nil"/>
              <w:left w:val="nil"/>
              <w:bottom w:val="single" w:sz="4" w:space="0" w:color="auto"/>
              <w:right w:val="single" w:sz="4" w:space="0" w:color="auto"/>
            </w:tcBorders>
            <w:shd w:val="clear" w:color="000000" w:fill="FDE9D9"/>
            <w:noWrap/>
            <w:vAlign w:val="bottom"/>
            <w:hideMark/>
          </w:tcPr>
          <w:p w14:paraId="16F107D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32,077 </w:t>
            </w:r>
          </w:p>
        </w:tc>
        <w:tc>
          <w:tcPr>
            <w:tcW w:w="992" w:type="dxa"/>
            <w:tcBorders>
              <w:top w:val="nil"/>
              <w:left w:val="nil"/>
              <w:bottom w:val="single" w:sz="4" w:space="0" w:color="auto"/>
              <w:right w:val="single" w:sz="4" w:space="0" w:color="auto"/>
            </w:tcBorders>
            <w:shd w:val="clear" w:color="000000" w:fill="FDE9D9"/>
            <w:noWrap/>
            <w:vAlign w:val="bottom"/>
            <w:hideMark/>
          </w:tcPr>
          <w:p w14:paraId="2EA9A6E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50,877 </w:t>
            </w:r>
          </w:p>
        </w:tc>
        <w:tc>
          <w:tcPr>
            <w:tcW w:w="1152" w:type="dxa"/>
            <w:tcBorders>
              <w:top w:val="nil"/>
              <w:left w:val="nil"/>
              <w:bottom w:val="single" w:sz="4" w:space="0" w:color="auto"/>
              <w:right w:val="single" w:sz="4" w:space="0" w:color="auto"/>
            </w:tcBorders>
            <w:shd w:val="clear" w:color="000000" w:fill="FDE9D9"/>
            <w:noWrap/>
            <w:vAlign w:val="bottom"/>
            <w:hideMark/>
          </w:tcPr>
          <w:p w14:paraId="741C6D9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131,650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0A15444F"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23 </w:t>
            </w:r>
          </w:p>
        </w:tc>
      </w:tr>
      <w:tr w14:paraId="7F8D7289"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6943C827"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0024835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55A63ABD"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0AD4F848"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Supplies</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4080F7FB"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72500</w:t>
            </w:r>
          </w:p>
        </w:tc>
        <w:tc>
          <w:tcPr>
            <w:tcW w:w="1134" w:type="dxa"/>
            <w:tcBorders>
              <w:top w:val="nil"/>
              <w:left w:val="nil"/>
              <w:bottom w:val="single" w:sz="4" w:space="0" w:color="auto"/>
              <w:right w:val="single" w:sz="4" w:space="0" w:color="auto"/>
            </w:tcBorders>
            <w:shd w:val="clear" w:color="000000" w:fill="FDE9D9"/>
            <w:noWrap/>
            <w:vAlign w:val="bottom"/>
            <w:hideMark/>
          </w:tcPr>
          <w:p w14:paraId="3AEBC44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1,620 </w:t>
            </w:r>
          </w:p>
        </w:tc>
        <w:tc>
          <w:tcPr>
            <w:tcW w:w="1134" w:type="dxa"/>
            <w:tcBorders>
              <w:top w:val="nil"/>
              <w:left w:val="nil"/>
              <w:bottom w:val="single" w:sz="4" w:space="0" w:color="auto"/>
              <w:right w:val="single" w:sz="4" w:space="0" w:color="auto"/>
            </w:tcBorders>
            <w:shd w:val="clear" w:color="000000" w:fill="FDE9D9"/>
            <w:noWrap/>
            <w:vAlign w:val="bottom"/>
            <w:hideMark/>
          </w:tcPr>
          <w:p w14:paraId="3B22784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1,620 </w:t>
            </w:r>
          </w:p>
        </w:tc>
        <w:tc>
          <w:tcPr>
            <w:tcW w:w="993" w:type="dxa"/>
            <w:tcBorders>
              <w:top w:val="nil"/>
              <w:left w:val="nil"/>
              <w:bottom w:val="single" w:sz="4" w:space="0" w:color="auto"/>
              <w:right w:val="single" w:sz="4" w:space="0" w:color="auto"/>
            </w:tcBorders>
            <w:shd w:val="clear" w:color="000000" w:fill="FDE9D9"/>
            <w:noWrap/>
            <w:vAlign w:val="bottom"/>
            <w:hideMark/>
          </w:tcPr>
          <w:p w14:paraId="7C16ABD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1,620 </w:t>
            </w:r>
          </w:p>
        </w:tc>
        <w:tc>
          <w:tcPr>
            <w:tcW w:w="992" w:type="dxa"/>
            <w:tcBorders>
              <w:top w:val="nil"/>
              <w:left w:val="nil"/>
              <w:bottom w:val="single" w:sz="4" w:space="0" w:color="auto"/>
              <w:right w:val="single" w:sz="4" w:space="0" w:color="auto"/>
            </w:tcBorders>
            <w:shd w:val="clear" w:color="000000" w:fill="FDE9D9"/>
            <w:noWrap/>
            <w:vAlign w:val="bottom"/>
            <w:hideMark/>
          </w:tcPr>
          <w:p w14:paraId="21F17F3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1,620 </w:t>
            </w:r>
          </w:p>
        </w:tc>
        <w:tc>
          <w:tcPr>
            <w:tcW w:w="992" w:type="dxa"/>
            <w:tcBorders>
              <w:top w:val="nil"/>
              <w:left w:val="nil"/>
              <w:bottom w:val="single" w:sz="4" w:space="0" w:color="auto"/>
              <w:right w:val="single" w:sz="4" w:space="0" w:color="auto"/>
            </w:tcBorders>
            <w:shd w:val="clear" w:color="000000" w:fill="FDE9D9"/>
            <w:noWrap/>
            <w:vAlign w:val="bottom"/>
            <w:hideMark/>
          </w:tcPr>
          <w:p w14:paraId="4F96D79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1,620 </w:t>
            </w:r>
          </w:p>
        </w:tc>
        <w:tc>
          <w:tcPr>
            <w:tcW w:w="1152" w:type="dxa"/>
            <w:tcBorders>
              <w:top w:val="nil"/>
              <w:left w:val="nil"/>
              <w:bottom w:val="single" w:sz="4" w:space="0" w:color="auto"/>
              <w:right w:val="single" w:sz="4" w:space="0" w:color="auto"/>
            </w:tcBorders>
            <w:shd w:val="clear" w:color="000000" w:fill="FDE9D9"/>
            <w:noWrap/>
            <w:vAlign w:val="bottom"/>
            <w:hideMark/>
          </w:tcPr>
          <w:p w14:paraId="268F6CC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8,100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3791E7CB"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 </w:t>
            </w:r>
          </w:p>
        </w:tc>
      </w:tr>
      <w:tr w14:paraId="0EDA93CB"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648E62A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4DC0452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179E89B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2E1C1B09"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Professional Services </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1F4AAD0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74100</w:t>
            </w:r>
          </w:p>
        </w:tc>
        <w:tc>
          <w:tcPr>
            <w:tcW w:w="1134" w:type="dxa"/>
            <w:tcBorders>
              <w:top w:val="nil"/>
              <w:left w:val="nil"/>
              <w:bottom w:val="single" w:sz="4" w:space="0" w:color="auto"/>
              <w:right w:val="single" w:sz="4" w:space="0" w:color="auto"/>
            </w:tcBorders>
            <w:shd w:val="clear" w:color="000000" w:fill="FDE9D9"/>
            <w:noWrap/>
            <w:vAlign w:val="bottom"/>
            <w:hideMark/>
          </w:tcPr>
          <w:p w14:paraId="33F54253"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7E983BB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21,000 </w:t>
            </w:r>
          </w:p>
        </w:tc>
        <w:tc>
          <w:tcPr>
            <w:tcW w:w="993" w:type="dxa"/>
            <w:tcBorders>
              <w:top w:val="nil"/>
              <w:left w:val="nil"/>
              <w:bottom w:val="single" w:sz="4" w:space="0" w:color="auto"/>
              <w:right w:val="single" w:sz="4" w:space="0" w:color="auto"/>
            </w:tcBorders>
            <w:shd w:val="clear" w:color="000000" w:fill="FDE9D9"/>
            <w:noWrap/>
            <w:vAlign w:val="bottom"/>
            <w:hideMark/>
          </w:tcPr>
          <w:p w14:paraId="74C04E0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FDE9D9"/>
            <w:noWrap/>
            <w:vAlign w:val="bottom"/>
            <w:hideMark/>
          </w:tcPr>
          <w:p w14:paraId="63ED508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992" w:type="dxa"/>
            <w:tcBorders>
              <w:top w:val="nil"/>
              <w:left w:val="nil"/>
              <w:bottom w:val="single" w:sz="4" w:space="0" w:color="auto"/>
              <w:right w:val="single" w:sz="4" w:space="0" w:color="auto"/>
            </w:tcBorders>
            <w:shd w:val="clear" w:color="000000" w:fill="FDE9D9"/>
            <w:noWrap/>
            <w:vAlign w:val="bottom"/>
            <w:hideMark/>
          </w:tcPr>
          <w:p w14:paraId="116A738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52" w:type="dxa"/>
            <w:tcBorders>
              <w:top w:val="nil"/>
              <w:left w:val="nil"/>
              <w:bottom w:val="single" w:sz="4" w:space="0" w:color="auto"/>
              <w:right w:val="single" w:sz="4" w:space="0" w:color="auto"/>
            </w:tcBorders>
            <w:shd w:val="clear" w:color="000000" w:fill="FDE9D9"/>
            <w:noWrap/>
            <w:vAlign w:val="bottom"/>
            <w:hideMark/>
          </w:tcPr>
          <w:p w14:paraId="4B1F874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21,000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768DB737"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 </w:t>
            </w:r>
          </w:p>
        </w:tc>
      </w:tr>
      <w:tr w14:paraId="3B498740"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7E50B53C"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7812B517"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5FC7326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50CD9428" w:rsidR="005A4D67" w:rsidRPr="00297BAD" w:rsidRDefault="005A4D67" w:rsidP="005A4D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Audio- Visual print and production cost</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2AEAE77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74200</w:t>
            </w:r>
          </w:p>
        </w:tc>
        <w:tc>
          <w:tcPr>
            <w:tcW w:w="1134" w:type="dxa"/>
            <w:tcBorders>
              <w:top w:val="nil"/>
              <w:left w:val="nil"/>
              <w:bottom w:val="single" w:sz="4" w:space="0" w:color="auto"/>
              <w:right w:val="single" w:sz="4" w:space="0" w:color="auto"/>
            </w:tcBorders>
            <w:shd w:val="clear" w:color="000000" w:fill="FDE9D9"/>
            <w:noWrap/>
            <w:vAlign w:val="bottom"/>
            <w:hideMark/>
          </w:tcPr>
          <w:p w14:paraId="641048E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7F10173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7,629 </w:t>
            </w:r>
          </w:p>
        </w:tc>
        <w:tc>
          <w:tcPr>
            <w:tcW w:w="993" w:type="dxa"/>
            <w:tcBorders>
              <w:top w:val="nil"/>
              <w:left w:val="nil"/>
              <w:bottom w:val="single" w:sz="4" w:space="0" w:color="auto"/>
              <w:right w:val="single" w:sz="4" w:space="0" w:color="auto"/>
            </w:tcBorders>
            <w:shd w:val="clear" w:color="000000" w:fill="FDE9D9"/>
            <w:noWrap/>
            <w:vAlign w:val="bottom"/>
            <w:hideMark/>
          </w:tcPr>
          <w:p w14:paraId="48BB4A5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3,343 </w:t>
            </w:r>
          </w:p>
        </w:tc>
        <w:tc>
          <w:tcPr>
            <w:tcW w:w="992" w:type="dxa"/>
            <w:tcBorders>
              <w:top w:val="nil"/>
              <w:left w:val="nil"/>
              <w:bottom w:val="single" w:sz="4" w:space="0" w:color="auto"/>
              <w:right w:val="single" w:sz="4" w:space="0" w:color="auto"/>
            </w:tcBorders>
            <w:shd w:val="clear" w:color="000000" w:fill="FDE9D9"/>
            <w:noWrap/>
            <w:vAlign w:val="bottom"/>
            <w:hideMark/>
          </w:tcPr>
          <w:p w14:paraId="37DEDCC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6,000 </w:t>
            </w:r>
          </w:p>
        </w:tc>
        <w:tc>
          <w:tcPr>
            <w:tcW w:w="992" w:type="dxa"/>
            <w:tcBorders>
              <w:top w:val="nil"/>
              <w:left w:val="nil"/>
              <w:bottom w:val="single" w:sz="4" w:space="0" w:color="auto"/>
              <w:right w:val="single" w:sz="4" w:space="0" w:color="auto"/>
            </w:tcBorders>
            <w:shd w:val="clear" w:color="000000" w:fill="FDE9D9"/>
            <w:noWrap/>
            <w:vAlign w:val="bottom"/>
            <w:hideMark/>
          </w:tcPr>
          <w:p w14:paraId="50604C55"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13,028 </w:t>
            </w:r>
          </w:p>
        </w:tc>
        <w:tc>
          <w:tcPr>
            <w:tcW w:w="1152" w:type="dxa"/>
            <w:tcBorders>
              <w:top w:val="nil"/>
              <w:left w:val="nil"/>
              <w:bottom w:val="single" w:sz="4" w:space="0" w:color="auto"/>
              <w:right w:val="single" w:sz="4" w:space="0" w:color="auto"/>
            </w:tcBorders>
            <w:shd w:val="clear" w:color="000000" w:fill="FDE9D9"/>
            <w:noWrap/>
            <w:vAlign w:val="bottom"/>
            <w:hideMark/>
          </w:tcPr>
          <w:p w14:paraId="3B6D508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2E22FE61"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 </w:t>
            </w:r>
          </w:p>
        </w:tc>
      </w:tr>
      <w:tr w14:paraId="6D0C2A89"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15BC0896"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74DEF00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4330639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6B3969EF"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Miscellaneous Expenses</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367DCA3D"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74500</w:t>
            </w:r>
          </w:p>
        </w:tc>
        <w:tc>
          <w:tcPr>
            <w:tcW w:w="1134" w:type="dxa"/>
            <w:tcBorders>
              <w:top w:val="nil"/>
              <w:left w:val="nil"/>
              <w:bottom w:val="single" w:sz="4" w:space="0" w:color="auto"/>
              <w:right w:val="single" w:sz="4" w:space="0" w:color="auto"/>
            </w:tcBorders>
            <w:shd w:val="clear" w:color="000000" w:fill="FDE9D9"/>
            <w:noWrap/>
            <w:vAlign w:val="bottom"/>
            <w:hideMark/>
          </w:tcPr>
          <w:p w14:paraId="3919D7C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40C3C63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2,573 </w:t>
            </w:r>
          </w:p>
        </w:tc>
        <w:tc>
          <w:tcPr>
            <w:tcW w:w="993" w:type="dxa"/>
            <w:tcBorders>
              <w:top w:val="nil"/>
              <w:left w:val="nil"/>
              <w:bottom w:val="single" w:sz="4" w:space="0" w:color="auto"/>
              <w:right w:val="single" w:sz="4" w:space="0" w:color="auto"/>
            </w:tcBorders>
            <w:shd w:val="clear" w:color="000000" w:fill="FDE9D9"/>
            <w:noWrap/>
            <w:vAlign w:val="bottom"/>
            <w:hideMark/>
          </w:tcPr>
          <w:p w14:paraId="731A6E7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2,572 </w:t>
            </w:r>
          </w:p>
        </w:tc>
        <w:tc>
          <w:tcPr>
            <w:tcW w:w="992" w:type="dxa"/>
            <w:tcBorders>
              <w:top w:val="nil"/>
              <w:left w:val="nil"/>
              <w:bottom w:val="single" w:sz="4" w:space="0" w:color="auto"/>
              <w:right w:val="single" w:sz="4" w:space="0" w:color="auto"/>
            </w:tcBorders>
            <w:shd w:val="clear" w:color="000000" w:fill="FDE9D9"/>
            <w:noWrap/>
            <w:vAlign w:val="bottom"/>
            <w:hideMark/>
          </w:tcPr>
          <w:p w14:paraId="2C35D0F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2,572 </w:t>
            </w:r>
          </w:p>
        </w:tc>
        <w:tc>
          <w:tcPr>
            <w:tcW w:w="992" w:type="dxa"/>
            <w:tcBorders>
              <w:top w:val="nil"/>
              <w:left w:val="nil"/>
              <w:bottom w:val="single" w:sz="4" w:space="0" w:color="auto"/>
              <w:right w:val="single" w:sz="4" w:space="0" w:color="auto"/>
            </w:tcBorders>
            <w:shd w:val="clear" w:color="000000" w:fill="FDE9D9"/>
            <w:noWrap/>
            <w:vAlign w:val="bottom"/>
            <w:hideMark/>
          </w:tcPr>
          <w:p w14:paraId="0178CC0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2,572 </w:t>
            </w:r>
          </w:p>
        </w:tc>
        <w:tc>
          <w:tcPr>
            <w:tcW w:w="1152" w:type="dxa"/>
            <w:tcBorders>
              <w:top w:val="nil"/>
              <w:left w:val="nil"/>
              <w:bottom w:val="single" w:sz="4" w:space="0" w:color="auto"/>
              <w:right w:val="single" w:sz="4" w:space="0" w:color="auto"/>
            </w:tcBorders>
            <w:shd w:val="clear" w:color="000000" w:fill="FDE9D9"/>
            <w:noWrap/>
            <w:vAlign w:val="bottom"/>
            <w:hideMark/>
          </w:tcPr>
          <w:p w14:paraId="5EC1F70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10,289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68D4ECCA"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 </w:t>
            </w:r>
          </w:p>
        </w:tc>
      </w:tr>
      <w:tr w14:paraId="0F5EF9E7"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40272B43"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0B7D089E"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0ACD2484"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FDE9D9"/>
            <w:noWrap/>
            <w:vAlign w:val="bottom"/>
            <w:hideMark/>
          </w:tcPr>
          <w:p w14:paraId="055677A1"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Training Workshop conference</w:t>
            </w:r>
          </w:p>
        </w:tc>
        <w:tc>
          <w:tcPr>
            <w:tcW w:w="992" w:type="dxa"/>
            <w:gridSpan w:val="2"/>
            <w:tcBorders>
              <w:top w:val="nil"/>
              <w:left w:val="nil"/>
              <w:bottom w:val="single" w:sz="4" w:space="0" w:color="auto"/>
              <w:right w:val="single" w:sz="4" w:space="0" w:color="auto"/>
            </w:tcBorders>
            <w:shd w:val="clear" w:color="000000" w:fill="FDE9D9"/>
            <w:noWrap/>
            <w:vAlign w:val="bottom"/>
            <w:hideMark/>
          </w:tcPr>
          <w:p w14:paraId="6EBA0FDB"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75700</w:t>
            </w:r>
          </w:p>
        </w:tc>
        <w:tc>
          <w:tcPr>
            <w:tcW w:w="1134" w:type="dxa"/>
            <w:tcBorders>
              <w:top w:val="nil"/>
              <w:left w:val="nil"/>
              <w:bottom w:val="single" w:sz="4" w:space="0" w:color="auto"/>
              <w:right w:val="single" w:sz="4" w:space="0" w:color="auto"/>
            </w:tcBorders>
            <w:shd w:val="clear" w:color="000000" w:fill="FDE9D9"/>
            <w:noWrap/>
            <w:vAlign w:val="bottom"/>
            <w:hideMark/>
          </w:tcPr>
          <w:p w14:paraId="0A86B37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DE9D9"/>
            <w:noWrap/>
            <w:vAlign w:val="bottom"/>
            <w:hideMark/>
          </w:tcPr>
          <w:p w14:paraId="1447411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51,968 </w:t>
            </w:r>
          </w:p>
        </w:tc>
        <w:tc>
          <w:tcPr>
            <w:tcW w:w="993" w:type="dxa"/>
            <w:tcBorders>
              <w:top w:val="nil"/>
              <w:left w:val="nil"/>
              <w:bottom w:val="single" w:sz="4" w:space="0" w:color="auto"/>
              <w:right w:val="single" w:sz="4" w:space="0" w:color="auto"/>
            </w:tcBorders>
            <w:shd w:val="clear" w:color="000000" w:fill="FDE9D9"/>
            <w:noWrap/>
            <w:vAlign w:val="bottom"/>
            <w:hideMark/>
          </w:tcPr>
          <w:p w14:paraId="053770B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28,483 </w:t>
            </w:r>
          </w:p>
        </w:tc>
        <w:tc>
          <w:tcPr>
            <w:tcW w:w="992" w:type="dxa"/>
            <w:tcBorders>
              <w:top w:val="nil"/>
              <w:left w:val="nil"/>
              <w:bottom w:val="single" w:sz="4" w:space="0" w:color="auto"/>
              <w:right w:val="single" w:sz="4" w:space="0" w:color="auto"/>
            </w:tcBorders>
            <w:shd w:val="clear" w:color="000000" w:fill="FDE9D9"/>
            <w:noWrap/>
            <w:vAlign w:val="bottom"/>
            <w:hideMark/>
          </w:tcPr>
          <w:p w14:paraId="3C9B0F0B"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53,047 </w:t>
            </w:r>
          </w:p>
        </w:tc>
        <w:tc>
          <w:tcPr>
            <w:tcW w:w="992" w:type="dxa"/>
            <w:tcBorders>
              <w:top w:val="nil"/>
              <w:left w:val="nil"/>
              <w:bottom w:val="single" w:sz="4" w:space="0" w:color="auto"/>
              <w:right w:val="single" w:sz="4" w:space="0" w:color="auto"/>
            </w:tcBorders>
            <w:shd w:val="clear" w:color="000000" w:fill="FDE9D9"/>
            <w:noWrap/>
            <w:vAlign w:val="bottom"/>
            <w:hideMark/>
          </w:tcPr>
          <w:p w14:paraId="430FC328"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26,682 </w:t>
            </w:r>
          </w:p>
        </w:tc>
        <w:tc>
          <w:tcPr>
            <w:tcW w:w="1152" w:type="dxa"/>
            <w:tcBorders>
              <w:top w:val="nil"/>
              <w:left w:val="nil"/>
              <w:bottom w:val="single" w:sz="4" w:space="0" w:color="auto"/>
              <w:right w:val="single" w:sz="4" w:space="0" w:color="auto"/>
            </w:tcBorders>
            <w:shd w:val="clear" w:color="000000" w:fill="FDE9D9"/>
            <w:noWrap/>
            <w:vAlign w:val="bottom"/>
            <w:hideMark/>
          </w:tcPr>
          <w:p w14:paraId="1C4F797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160,180 </w:t>
            </w:r>
          </w:p>
        </w:tc>
        <w:tc>
          <w:tcPr>
            <w:tcW w:w="1135" w:type="dxa"/>
            <w:gridSpan w:val="2"/>
            <w:tcBorders>
              <w:top w:val="nil"/>
              <w:left w:val="nil"/>
              <w:bottom w:val="single" w:sz="4" w:space="0" w:color="auto"/>
              <w:right w:val="single" w:sz="4" w:space="0" w:color="auto"/>
            </w:tcBorders>
            <w:shd w:val="clear" w:color="000000" w:fill="FDE9D9"/>
            <w:vAlign w:val="center"/>
            <w:hideMark/>
          </w:tcPr>
          <w:p w14:paraId="5123EB0D"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28 </w:t>
            </w:r>
          </w:p>
        </w:tc>
      </w:tr>
      <w:tr w14:paraId="24ABF021" w:rsidR="005A4D67" w:rsidRPr="00297BAD" w:rsidTr="00952305">
        <w:trPr>
          <w:trHeight w:val="300"/>
        </w:trPr>
        <w:tc>
          <w:tcPr>
            <w:tcW w:w="6662" w:type="dxa"/>
            <w:gridSpan w:val="4"/>
            <w:tcBorders>
              <w:top w:val="single" w:sz="4" w:space="0" w:color="auto"/>
              <w:left w:val="single" w:sz="4" w:space="0" w:color="auto"/>
              <w:bottom w:val="single" w:sz="4" w:space="0" w:color="auto"/>
              <w:right w:val="single" w:sz="4" w:space="0" w:color="000000"/>
            </w:tcBorders>
            <w:shd w:val="clear" w:color="000000" w:fill="FABF8F"/>
            <w:noWrap/>
            <w:vAlign w:val="bottom"/>
            <w:hideMark/>
          </w:tcPr>
          <w:p w14:paraId="427F23DB"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 Outcome 2</w:t>
            </w:r>
          </w:p>
        </w:tc>
        <w:tc>
          <w:tcPr>
            <w:tcW w:w="992" w:type="dxa"/>
            <w:gridSpan w:val="2"/>
            <w:tcBorders>
              <w:top w:val="nil"/>
              <w:left w:val="nil"/>
              <w:bottom w:val="single" w:sz="4" w:space="0" w:color="auto"/>
              <w:right w:val="single" w:sz="4" w:space="0" w:color="auto"/>
            </w:tcBorders>
            <w:shd w:val="clear" w:color="000000" w:fill="FABF8F"/>
            <w:noWrap/>
            <w:vAlign w:val="bottom"/>
            <w:hideMark/>
          </w:tcPr>
          <w:p w14:paraId="3881D095"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FABF8F"/>
            <w:noWrap/>
            <w:vAlign w:val="bottom"/>
            <w:hideMark/>
          </w:tcPr>
          <w:p w14:paraId="461F4974"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1,620 </w:t>
            </w:r>
          </w:p>
        </w:tc>
        <w:tc>
          <w:tcPr>
            <w:tcW w:w="1134" w:type="dxa"/>
            <w:tcBorders>
              <w:top w:val="nil"/>
              <w:left w:val="nil"/>
              <w:bottom w:val="single" w:sz="4" w:space="0" w:color="auto"/>
              <w:right w:val="single" w:sz="4" w:space="0" w:color="auto"/>
            </w:tcBorders>
            <w:shd w:val="clear" w:color="000000" w:fill="FABF8F"/>
            <w:noWrap/>
            <w:vAlign w:val="bottom"/>
            <w:hideMark/>
          </w:tcPr>
          <w:p w14:paraId="2CAF85E8"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334,995 </w:t>
            </w:r>
          </w:p>
        </w:tc>
        <w:tc>
          <w:tcPr>
            <w:tcW w:w="993" w:type="dxa"/>
            <w:tcBorders>
              <w:top w:val="nil"/>
              <w:left w:val="nil"/>
              <w:bottom w:val="single" w:sz="4" w:space="0" w:color="auto"/>
              <w:right w:val="single" w:sz="4" w:space="0" w:color="auto"/>
            </w:tcBorders>
            <w:shd w:val="clear" w:color="000000" w:fill="FABF8F"/>
            <w:noWrap/>
            <w:vAlign w:val="bottom"/>
            <w:hideMark/>
          </w:tcPr>
          <w:p w14:paraId="7D5FF8CB"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162,564 </w:t>
            </w:r>
          </w:p>
        </w:tc>
        <w:tc>
          <w:tcPr>
            <w:tcW w:w="992" w:type="dxa"/>
            <w:tcBorders>
              <w:top w:val="nil"/>
              <w:left w:val="nil"/>
              <w:bottom w:val="single" w:sz="4" w:space="0" w:color="auto"/>
              <w:right w:val="single" w:sz="4" w:space="0" w:color="auto"/>
            </w:tcBorders>
            <w:shd w:val="clear" w:color="000000" w:fill="FABF8F"/>
            <w:noWrap/>
            <w:vAlign w:val="bottom"/>
            <w:hideMark/>
          </w:tcPr>
          <w:p w14:paraId="5C31392E"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223,141 </w:t>
            </w:r>
          </w:p>
        </w:tc>
        <w:tc>
          <w:tcPr>
            <w:tcW w:w="992" w:type="dxa"/>
            <w:tcBorders>
              <w:top w:val="nil"/>
              <w:left w:val="nil"/>
              <w:bottom w:val="single" w:sz="4" w:space="0" w:color="auto"/>
              <w:right w:val="single" w:sz="4" w:space="0" w:color="auto"/>
            </w:tcBorders>
            <w:shd w:val="clear" w:color="000000" w:fill="FABF8F"/>
            <w:noWrap/>
            <w:vAlign w:val="bottom"/>
            <w:hideMark/>
          </w:tcPr>
          <w:p w14:paraId="7FF91CA7"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224,505 </w:t>
            </w:r>
          </w:p>
        </w:tc>
        <w:tc>
          <w:tcPr>
            <w:tcW w:w="1152" w:type="dxa"/>
            <w:tcBorders>
              <w:top w:val="nil"/>
              <w:left w:val="nil"/>
              <w:bottom w:val="single" w:sz="4" w:space="0" w:color="auto"/>
              <w:right w:val="single" w:sz="4" w:space="0" w:color="auto"/>
            </w:tcBorders>
            <w:shd w:val="clear" w:color="000000" w:fill="FABF8F"/>
            <w:noWrap/>
            <w:vAlign w:val="bottom"/>
            <w:hideMark/>
          </w:tcPr>
          <w:p w14:paraId="323E827A"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946,825 </w:t>
            </w:r>
          </w:p>
        </w:tc>
        <w:tc>
          <w:tcPr>
            <w:tcW w:w="1135" w:type="dxa"/>
            <w:gridSpan w:val="2"/>
            <w:tcBorders>
              <w:top w:val="nil"/>
              <w:left w:val="nil"/>
              <w:bottom w:val="single" w:sz="4" w:space="0" w:color="auto"/>
              <w:right w:val="single" w:sz="4" w:space="0" w:color="auto"/>
            </w:tcBorders>
            <w:shd w:val="clear" w:color="000000" w:fill="FABF8F"/>
            <w:vAlign w:val="center"/>
            <w:hideMark/>
          </w:tcPr>
          <w:p w14:paraId="1E3939BD"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w:t>
            </w:r>
          </w:p>
        </w:tc>
      </w:tr>
      <w:tr w14:paraId="09B94BAE" w:rsidR="005A4D67" w:rsidRPr="00297BAD" w:rsidTr="00952305">
        <w:trPr>
          <w:trHeight w:val="300"/>
        </w:trPr>
        <w:tc>
          <w:tcPr>
            <w:tcW w:w="1559"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318FEA67"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PM</w:t>
            </w:r>
          </w:p>
        </w:tc>
        <w:tc>
          <w:tcPr>
            <w:tcW w:w="1418" w:type="dxa"/>
            <w:vMerge w:val="restart"/>
            <w:tcBorders>
              <w:top w:val="nil"/>
              <w:left w:val="single" w:sz="4" w:space="0" w:color="auto"/>
              <w:bottom w:val="single" w:sz="4" w:space="0" w:color="000000"/>
              <w:right w:val="single" w:sz="4" w:space="0" w:color="auto"/>
            </w:tcBorders>
            <w:shd w:val="clear" w:color="000000" w:fill="E4DFEC"/>
            <w:vAlign w:val="bottom"/>
            <w:hideMark/>
          </w:tcPr>
          <w:p w14:paraId="78B3E696" w:rsidR="005A4D67" w:rsidRPr="00297BAD" w:rsidRDefault="005A4D67" w:rsidP="005A4D67">
            <w:pPr>
              <w:spacing w:after="0" w:line="240" w:lineRule="auto"/>
              <w:jc w:val="center"/>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Ministry of Agriculture, Lands, Forestry, Fisheries and the Environment (MoA)</w:t>
            </w:r>
          </w:p>
        </w:tc>
        <w:tc>
          <w:tcPr>
            <w:tcW w:w="1134"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5AECA944"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62000</w:t>
            </w:r>
          </w:p>
        </w:tc>
        <w:tc>
          <w:tcPr>
            <w:tcW w:w="2551" w:type="dxa"/>
            <w:tcBorders>
              <w:top w:val="nil"/>
              <w:left w:val="nil"/>
              <w:bottom w:val="single" w:sz="4" w:space="0" w:color="auto"/>
              <w:right w:val="single" w:sz="4" w:space="0" w:color="auto"/>
            </w:tcBorders>
            <w:shd w:val="clear" w:color="000000" w:fill="E4DFEC"/>
            <w:noWrap/>
            <w:vAlign w:val="bottom"/>
            <w:hideMark/>
          </w:tcPr>
          <w:p w14:paraId="1205AF79"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w:t>
            </w:r>
          </w:p>
        </w:tc>
        <w:tc>
          <w:tcPr>
            <w:tcW w:w="992" w:type="dxa"/>
            <w:gridSpan w:val="2"/>
            <w:tcBorders>
              <w:top w:val="nil"/>
              <w:left w:val="nil"/>
              <w:bottom w:val="single" w:sz="4" w:space="0" w:color="auto"/>
              <w:right w:val="single" w:sz="4" w:space="0" w:color="auto"/>
            </w:tcBorders>
            <w:shd w:val="clear" w:color="000000" w:fill="E4DFEC"/>
            <w:noWrap/>
            <w:vAlign w:val="bottom"/>
            <w:hideMark/>
          </w:tcPr>
          <w:p w14:paraId="35C9F0FB"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134" w:type="dxa"/>
            <w:tcBorders>
              <w:top w:val="nil"/>
              <w:left w:val="nil"/>
              <w:bottom w:val="single" w:sz="4" w:space="0" w:color="auto"/>
              <w:right w:val="single" w:sz="4" w:space="0" w:color="auto"/>
            </w:tcBorders>
            <w:shd w:val="clear" w:color="000000" w:fill="E4DFEC"/>
            <w:noWrap/>
            <w:vAlign w:val="bottom"/>
            <w:hideMark/>
          </w:tcPr>
          <w:p w14:paraId="482F18C1"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2,769 </w:t>
            </w:r>
          </w:p>
        </w:tc>
        <w:tc>
          <w:tcPr>
            <w:tcW w:w="1134" w:type="dxa"/>
            <w:tcBorders>
              <w:top w:val="nil"/>
              <w:left w:val="nil"/>
              <w:bottom w:val="single" w:sz="4" w:space="0" w:color="auto"/>
              <w:right w:val="single" w:sz="4" w:space="0" w:color="auto"/>
            </w:tcBorders>
            <w:shd w:val="clear" w:color="000000" w:fill="E4DFEC"/>
            <w:noWrap/>
            <w:vAlign w:val="bottom"/>
            <w:hideMark/>
          </w:tcPr>
          <w:p w14:paraId="521AE44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2,768 </w:t>
            </w:r>
          </w:p>
        </w:tc>
        <w:tc>
          <w:tcPr>
            <w:tcW w:w="993" w:type="dxa"/>
            <w:tcBorders>
              <w:top w:val="nil"/>
              <w:left w:val="nil"/>
              <w:bottom w:val="single" w:sz="4" w:space="0" w:color="auto"/>
              <w:right w:val="single" w:sz="4" w:space="0" w:color="auto"/>
            </w:tcBorders>
            <w:shd w:val="clear" w:color="000000" w:fill="E4DFEC"/>
            <w:noWrap/>
            <w:vAlign w:val="bottom"/>
            <w:hideMark/>
          </w:tcPr>
          <w:p w14:paraId="7699E90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2,768 </w:t>
            </w:r>
          </w:p>
        </w:tc>
        <w:tc>
          <w:tcPr>
            <w:tcW w:w="992" w:type="dxa"/>
            <w:tcBorders>
              <w:top w:val="nil"/>
              <w:left w:val="nil"/>
              <w:bottom w:val="single" w:sz="4" w:space="0" w:color="auto"/>
              <w:right w:val="single" w:sz="4" w:space="0" w:color="auto"/>
            </w:tcBorders>
            <w:shd w:val="clear" w:color="000000" w:fill="E4DFEC"/>
            <w:noWrap/>
            <w:vAlign w:val="bottom"/>
            <w:hideMark/>
          </w:tcPr>
          <w:p w14:paraId="01053B6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2,768 </w:t>
            </w:r>
          </w:p>
        </w:tc>
        <w:tc>
          <w:tcPr>
            <w:tcW w:w="992" w:type="dxa"/>
            <w:tcBorders>
              <w:top w:val="nil"/>
              <w:left w:val="nil"/>
              <w:bottom w:val="single" w:sz="4" w:space="0" w:color="auto"/>
              <w:right w:val="single" w:sz="4" w:space="0" w:color="auto"/>
            </w:tcBorders>
            <w:shd w:val="clear" w:color="000000" w:fill="E4DFEC"/>
            <w:noWrap/>
            <w:vAlign w:val="bottom"/>
            <w:hideMark/>
          </w:tcPr>
          <w:p w14:paraId="67F8A75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2,768 </w:t>
            </w:r>
          </w:p>
        </w:tc>
        <w:tc>
          <w:tcPr>
            <w:tcW w:w="1152" w:type="dxa"/>
            <w:tcBorders>
              <w:top w:val="nil"/>
              <w:left w:val="nil"/>
              <w:bottom w:val="single" w:sz="4" w:space="0" w:color="auto"/>
              <w:right w:val="single" w:sz="4" w:space="0" w:color="auto"/>
            </w:tcBorders>
            <w:shd w:val="clear" w:color="000000" w:fill="E4DFEC"/>
            <w:noWrap/>
            <w:vAlign w:val="bottom"/>
            <w:hideMark/>
          </w:tcPr>
          <w:p w14:paraId="1B8BED8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13,841 </w:t>
            </w:r>
          </w:p>
        </w:tc>
        <w:tc>
          <w:tcPr>
            <w:tcW w:w="1135" w:type="dxa"/>
            <w:gridSpan w:val="2"/>
            <w:tcBorders>
              <w:top w:val="nil"/>
              <w:left w:val="nil"/>
              <w:bottom w:val="single" w:sz="4" w:space="0" w:color="auto"/>
              <w:right w:val="single" w:sz="4" w:space="0" w:color="auto"/>
            </w:tcBorders>
            <w:shd w:val="clear" w:color="000000" w:fill="E4DFEC"/>
            <w:noWrap/>
            <w:vAlign w:val="bottom"/>
            <w:hideMark/>
          </w:tcPr>
          <w:p w14:paraId="23E91DA4" w:rsidR="005A4D67" w:rsidRPr="00297BAD" w:rsidRDefault="005A4D67" w:rsidP="00BD13D4">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29</w:t>
            </w:r>
          </w:p>
        </w:tc>
      </w:tr>
      <w:tr w14:paraId="73930E97"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3DEE25D2"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3288652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61A63C7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E4DFEC"/>
            <w:noWrap/>
            <w:vAlign w:val="bottom"/>
            <w:hideMark/>
          </w:tcPr>
          <w:p w14:paraId="30E69D0E"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w:t>
            </w:r>
          </w:p>
        </w:tc>
        <w:tc>
          <w:tcPr>
            <w:tcW w:w="992" w:type="dxa"/>
            <w:gridSpan w:val="2"/>
            <w:tcBorders>
              <w:top w:val="nil"/>
              <w:left w:val="nil"/>
              <w:bottom w:val="single" w:sz="4" w:space="0" w:color="auto"/>
              <w:right w:val="single" w:sz="4" w:space="0" w:color="auto"/>
            </w:tcBorders>
            <w:shd w:val="clear" w:color="000000" w:fill="E4DFEC"/>
            <w:noWrap/>
            <w:vAlign w:val="bottom"/>
            <w:hideMark/>
          </w:tcPr>
          <w:p w14:paraId="19DBBD51"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134" w:type="dxa"/>
            <w:tcBorders>
              <w:top w:val="nil"/>
              <w:left w:val="nil"/>
              <w:bottom w:val="single" w:sz="4" w:space="0" w:color="auto"/>
              <w:right w:val="single" w:sz="4" w:space="0" w:color="auto"/>
            </w:tcBorders>
            <w:shd w:val="clear" w:color="000000" w:fill="E4DFEC"/>
            <w:noWrap/>
            <w:vAlign w:val="bottom"/>
            <w:hideMark/>
          </w:tcPr>
          <w:p w14:paraId="67D4B9CE"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5,040 </w:t>
            </w:r>
          </w:p>
        </w:tc>
        <w:tc>
          <w:tcPr>
            <w:tcW w:w="1134" w:type="dxa"/>
            <w:tcBorders>
              <w:top w:val="nil"/>
              <w:left w:val="nil"/>
              <w:bottom w:val="single" w:sz="4" w:space="0" w:color="auto"/>
              <w:right w:val="single" w:sz="4" w:space="0" w:color="auto"/>
            </w:tcBorders>
            <w:shd w:val="clear" w:color="000000" w:fill="E4DFEC"/>
            <w:noWrap/>
            <w:vAlign w:val="bottom"/>
            <w:hideMark/>
          </w:tcPr>
          <w:p w14:paraId="5920F98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5,040 </w:t>
            </w:r>
          </w:p>
        </w:tc>
        <w:tc>
          <w:tcPr>
            <w:tcW w:w="993" w:type="dxa"/>
            <w:tcBorders>
              <w:top w:val="nil"/>
              <w:left w:val="nil"/>
              <w:bottom w:val="single" w:sz="4" w:space="0" w:color="auto"/>
              <w:right w:val="single" w:sz="4" w:space="0" w:color="auto"/>
            </w:tcBorders>
            <w:shd w:val="clear" w:color="000000" w:fill="E4DFEC"/>
            <w:noWrap/>
            <w:vAlign w:val="bottom"/>
            <w:hideMark/>
          </w:tcPr>
          <w:p w14:paraId="31CF2CD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5,040 </w:t>
            </w:r>
          </w:p>
        </w:tc>
        <w:tc>
          <w:tcPr>
            <w:tcW w:w="992" w:type="dxa"/>
            <w:tcBorders>
              <w:top w:val="nil"/>
              <w:left w:val="nil"/>
              <w:bottom w:val="single" w:sz="4" w:space="0" w:color="auto"/>
              <w:right w:val="single" w:sz="4" w:space="0" w:color="auto"/>
            </w:tcBorders>
            <w:shd w:val="clear" w:color="000000" w:fill="E4DFEC"/>
            <w:noWrap/>
            <w:vAlign w:val="bottom"/>
            <w:hideMark/>
          </w:tcPr>
          <w:p w14:paraId="26E0EA2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5,040 </w:t>
            </w:r>
          </w:p>
        </w:tc>
        <w:tc>
          <w:tcPr>
            <w:tcW w:w="992" w:type="dxa"/>
            <w:tcBorders>
              <w:top w:val="nil"/>
              <w:left w:val="nil"/>
              <w:bottom w:val="single" w:sz="4" w:space="0" w:color="auto"/>
              <w:right w:val="single" w:sz="4" w:space="0" w:color="auto"/>
            </w:tcBorders>
            <w:shd w:val="clear" w:color="000000" w:fill="E4DFEC"/>
            <w:noWrap/>
            <w:vAlign w:val="bottom"/>
            <w:hideMark/>
          </w:tcPr>
          <w:p w14:paraId="1A157EE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5,040 </w:t>
            </w:r>
          </w:p>
        </w:tc>
        <w:tc>
          <w:tcPr>
            <w:tcW w:w="1152" w:type="dxa"/>
            <w:tcBorders>
              <w:top w:val="nil"/>
              <w:left w:val="nil"/>
              <w:bottom w:val="single" w:sz="4" w:space="0" w:color="auto"/>
              <w:right w:val="single" w:sz="4" w:space="0" w:color="auto"/>
            </w:tcBorders>
            <w:shd w:val="clear" w:color="000000" w:fill="E4DFEC"/>
            <w:noWrap/>
            <w:vAlign w:val="bottom"/>
            <w:hideMark/>
          </w:tcPr>
          <w:p w14:paraId="11D1DA1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25,200 </w:t>
            </w:r>
          </w:p>
        </w:tc>
        <w:tc>
          <w:tcPr>
            <w:tcW w:w="1135" w:type="dxa"/>
            <w:gridSpan w:val="2"/>
            <w:tcBorders>
              <w:top w:val="nil"/>
              <w:left w:val="nil"/>
              <w:bottom w:val="single" w:sz="4" w:space="0" w:color="auto"/>
              <w:right w:val="single" w:sz="4" w:space="0" w:color="auto"/>
            </w:tcBorders>
            <w:shd w:val="clear" w:color="000000" w:fill="E4DFEC"/>
            <w:noWrap/>
            <w:vAlign w:val="bottom"/>
            <w:hideMark/>
          </w:tcPr>
          <w:p w14:paraId="769AB3EB" w:rsidR="005A4D67" w:rsidRPr="00297BAD" w:rsidRDefault="005A4D67" w:rsidP="00BD13D4">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30</w:t>
            </w:r>
          </w:p>
        </w:tc>
      </w:tr>
      <w:tr w14:paraId="0841F5A7"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2CFB250A"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7F864B11"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0418D33F"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E4DFEC"/>
            <w:noWrap/>
            <w:vAlign w:val="bottom"/>
            <w:hideMark/>
          </w:tcPr>
          <w:p w14:paraId="0290BDD2" w:rsidR="005A4D67" w:rsidRPr="00297BAD" w:rsidRDefault="005A4D67" w:rsidP="005A4D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w:t>
            </w:r>
          </w:p>
        </w:tc>
        <w:tc>
          <w:tcPr>
            <w:tcW w:w="992" w:type="dxa"/>
            <w:gridSpan w:val="2"/>
            <w:tcBorders>
              <w:top w:val="nil"/>
              <w:left w:val="nil"/>
              <w:bottom w:val="single" w:sz="4" w:space="0" w:color="auto"/>
              <w:right w:val="single" w:sz="4" w:space="0" w:color="auto"/>
            </w:tcBorders>
            <w:shd w:val="clear" w:color="000000" w:fill="E4DFEC"/>
            <w:noWrap/>
            <w:vAlign w:val="bottom"/>
            <w:hideMark/>
          </w:tcPr>
          <w:p w14:paraId="68DBD022"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134" w:type="dxa"/>
            <w:tcBorders>
              <w:top w:val="nil"/>
              <w:left w:val="nil"/>
              <w:bottom w:val="single" w:sz="4" w:space="0" w:color="auto"/>
              <w:right w:val="single" w:sz="4" w:space="0" w:color="auto"/>
            </w:tcBorders>
            <w:shd w:val="clear" w:color="000000" w:fill="E4DFEC"/>
            <w:noWrap/>
            <w:vAlign w:val="bottom"/>
            <w:hideMark/>
          </w:tcPr>
          <w:p w14:paraId="5D20776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8,400 </w:t>
            </w:r>
          </w:p>
        </w:tc>
        <w:tc>
          <w:tcPr>
            <w:tcW w:w="1134" w:type="dxa"/>
            <w:tcBorders>
              <w:top w:val="nil"/>
              <w:left w:val="nil"/>
              <w:bottom w:val="single" w:sz="4" w:space="0" w:color="auto"/>
              <w:right w:val="single" w:sz="4" w:space="0" w:color="auto"/>
            </w:tcBorders>
            <w:shd w:val="clear" w:color="000000" w:fill="E4DFEC"/>
            <w:noWrap/>
            <w:vAlign w:val="bottom"/>
            <w:hideMark/>
          </w:tcPr>
          <w:p w14:paraId="21EDF18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8,400 </w:t>
            </w:r>
          </w:p>
        </w:tc>
        <w:tc>
          <w:tcPr>
            <w:tcW w:w="993" w:type="dxa"/>
            <w:tcBorders>
              <w:top w:val="nil"/>
              <w:left w:val="nil"/>
              <w:bottom w:val="single" w:sz="4" w:space="0" w:color="auto"/>
              <w:right w:val="single" w:sz="4" w:space="0" w:color="auto"/>
            </w:tcBorders>
            <w:shd w:val="clear" w:color="000000" w:fill="E4DFEC"/>
            <w:noWrap/>
            <w:vAlign w:val="bottom"/>
            <w:hideMark/>
          </w:tcPr>
          <w:p w14:paraId="01C3BCF0"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8,400 </w:t>
            </w:r>
          </w:p>
        </w:tc>
        <w:tc>
          <w:tcPr>
            <w:tcW w:w="992" w:type="dxa"/>
            <w:tcBorders>
              <w:top w:val="nil"/>
              <w:left w:val="nil"/>
              <w:bottom w:val="single" w:sz="4" w:space="0" w:color="auto"/>
              <w:right w:val="single" w:sz="4" w:space="0" w:color="auto"/>
            </w:tcBorders>
            <w:shd w:val="clear" w:color="000000" w:fill="E4DFEC"/>
            <w:noWrap/>
            <w:vAlign w:val="bottom"/>
            <w:hideMark/>
          </w:tcPr>
          <w:p w14:paraId="593D3A1C"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8,400 </w:t>
            </w:r>
          </w:p>
        </w:tc>
        <w:tc>
          <w:tcPr>
            <w:tcW w:w="992" w:type="dxa"/>
            <w:tcBorders>
              <w:top w:val="nil"/>
              <w:left w:val="nil"/>
              <w:bottom w:val="single" w:sz="4" w:space="0" w:color="auto"/>
              <w:right w:val="single" w:sz="4" w:space="0" w:color="auto"/>
            </w:tcBorders>
            <w:shd w:val="clear" w:color="000000" w:fill="E4DFEC"/>
            <w:noWrap/>
            <w:vAlign w:val="bottom"/>
            <w:hideMark/>
          </w:tcPr>
          <w:p w14:paraId="0CA2910A"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8,400 </w:t>
            </w:r>
          </w:p>
        </w:tc>
        <w:tc>
          <w:tcPr>
            <w:tcW w:w="1152" w:type="dxa"/>
            <w:tcBorders>
              <w:top w:val="nil"/>
              <w:left w:val="nil"/>
              <w:bottom w:val="single" w:sz="4" w:space="0" w:color="auto"/>
              <w:right w:val="single" w:sz="4" w:space="0" w:color="auto"/>
            </w:tcBorders>
            <w:shd w:val="clear" w:color="000000" w:fill="E4DFEC"/>
            <w:noWrap/>
            <w:vAlign w:val="bottom"/>
            <w:hideMark/>
          </w:tcPr>
          <w:p w14:paraId="13CD669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42,000 </w:t>
            </w:r>
          </w:p>
        </w:tc>
        <w:tc>
          <w:tcPr>
            <w:tcW w:w="1135" w:type="dxa"/>
            <w:gridSpan w:val="2"/>
            <w:tcBorders>
              <w:top w:val="nil"/>
              <w:left w:val="nil"/>
              <w:bottom w:val="single" w:sz="4" w:space="0" w:color="auto"/>
              <w:right w:val="single" w:sz="4" w:space="0" w:color="auto"/>
            </w:tcBorders>
            <w:shd w:val="clear" w:color="000000" w:fill="E4DFEC"/>
            <w:noWrap/>
            <w:vAlign w:val="bottom"/>
            <w:hideMark/>
          </w:tcPr>
          <w:p w14:paraId="78810403" w:rsidR="005A4D67" w:rsidRPr="00297BAD" w:rsidRDefault="005A4D67" w:rsidP="00BD13D4">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31</w:t>
            </w:r>
          </w:p>
        </w:tc>
      </w:tr>
      <w:tr w14:paraId="5E7D5014" w:rsidR="005A4D67" w:rsidRPr="00297BAD" w:rsidTr="00952305">
        <w:trPr>
          <w:trHeight w:val="300"/>
        </w:trPr>
        <w:tc>
          <w:tcPr>
            <w:tcW w:w="1559" w:type="dxa"/>
            <w:vMerge/>
            <w:tcBorders>
              <w:top w:val="nil"/>
              <w:left w:val="single" w:sz="4" w:space="0" w:color="auto"/>
              <w:bottom w:val="single" w:sz="4" w:space="0" w:color="000000"/>
              <w:right w:val="single" w:sz="4" w:space="0" w:color="auto"/>
            </w:tcBorders>
            <w:vAlign w:val="center"/>
            <w:hideMark/>
          </w:tcPr>
          <w:p w14:paraId="3D0857F9"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418" w:type="dxa"/>
            <w:vMerge/>
            <w:tcBorders>
              <w:top w:val="nil"/>
              <w:left w:val="single" w:sz="4" w:space="0" w:color="auto"/>
              <w:bottom w:val="single" w:sz="4" w:space="0" w:color="000000"/>
              <w:right w:val="single" w:sz="4" w:space="0" w:color="auto"/>
            </w:tcBorders>
            <w:vAlign w:val="center"/>
            <w:hideMark/>
          </w:tcPr>
          <w:p w14:paraId="6A802AC8"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1134" w:type="dxa"/>
            <w:vMerge/>
            <w:tcBorders>
              <w:top w:val="nil"/>
              <w:left w:val="single" w:sz="4" w:space="0" w:color="auto"/>
              <w:bottom w:val="single" w:sz="4" w:space="0" w:color="000000"/>
              <w:right w:val="single" w:sz="4" w:space="0" w:color="auto"/>
            </w:tcBorders>
            <w:vAlign w:val="center"/>
            <w:hideMark/>
          </w:tcPr>
          <w:p w14:paraId="4C75DA1B" w:rsidR="005A4D67" w:rsidRPr="00297BAD" w:rsidRDefault="005A4D67" w:rsidP="005A4D67">
            <w:pPr>
              <w:spacing w:after="0" w:line="240" w:lineRule="auto"/>
              <w:rPr>
                <w:rFonts w:ascii="Times New Roman" w:eastAsia="Times New Roman" w:hAnsi="Times New Roman" w:cs="Times New Roman"/>
                <w:color w:val="000000"/>
                <w:lang w:val="es-MX" w:eastAsia="es-MX"/>
              </w:rPr>
            </w:pPr>
          </w:p>
        </w:tc>
        <w:tc>
          <w:tcPr>
            <w:tcW w:w="2551" w:type="dxa"/>
            <w:tcBorders>
              <w:top w:val="nil"/>
              <w:left w:val="nil"/>
              <w:bottom w:val="single" w:sz="4" w:space="0" w:color="auto"/>
              <w:right w:val="single" w:sz="4" w:space="0" w:color="auto"/>
            </w:tcBorders>
            <w:shd w:val="clear" w:color="000000" w:fill="E4DFEC"/>
            <w:noWrap/>
            <w:vAlign w:val="bottom"/>
            <w:hideMark/>
          </w:tcPr>
          <w:p w14:paraId="1B4A3E08" w:rsidR="005A4D67" w:rsidRPr="00297BAD" w:rsidRDefault="005A4D67" w:rsidP="005A4D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UNDP-Cost recovery charges-Bills</w:t>
            </w:r>
          </w:p>
        </w:tc>
        <w:tc>
          <w:tcPr>
            <w:tcW w:w="992" w:type="dxa"/>
            <w:gridSpan w:val="2"/>
            <w:tcBorders>
              <w:top w:val="nil"/>
              <w:left w:val="nil"/>
              <w:bottom w:val="single" w:sz="4" w:space="0" w:color="auto"/>
              <w:right w:val="single" w:sz="4" w:space="0" w:color="auto"/>
            </w:tcBorders>
            <w:shd w:val="clear" w:color="000000" w:fill="E4DFEC"/>
            <w:noWrap/>
            <w:vAlign w:val="bottom"/>
            <w:hideMark/>
          </w:tcPr>
          <w:p w14:paraId="692B43AF"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74599</w:t>
            </w:r>
          </w:p>
        </w:tc>
        <w:tc>
          <w:tcPr>
            <w:tcW w:w="1134" w:type="dxa"/>
            <w:tcBorders>
              <w:top w:val="nil"/>
              <w:left w:val="nil"/>
              <w:bottom w:val="single" w:sz="4" w:space="0" w:color="auto"/>
              <w:right w:val="single" w:sz="4" w:space="0" w:color="auto"/>
            </w:tcBorders>
            <w:shd w:val="clear" w:color="000000" w:fill="E4DFEC"/>
            <w:noWrap/>
            <w:vAlign w:val="bottom"/>
            <w:hideMark/>
          </w:tcPr>
          <w:p w14:paraId="09200294"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134" w:type="dxa"/>
            <w:tcBorders>
              <w:top w:val="nil"/>
              <w:left w:val="nil"/>
              <w:bottom w:val="single" w:sz="4" w:space="0" w:color="auto"/>
              <w:right w:val="single" w:sz="4" w:space="0" w:color="auto"/>
            </w:tcBorders>
            <w:shd w:val="clear" w:color="000000" w:fill="E4DFEC"/>
            <w:noWrap/>
            <w:vAlign w:val="bottom"/>
            <w:hideMark/>
          </w:tcPr>
          <w:p w14:paraId="1E960637"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3" w:type="dxa"/>
            <w:tcBorders>
              <w:top w:val="nil"/>
              <w:left w:val="nil"/>
              <w:bottom w:val="single" w:sz="4" w:space="0" w:color="auto"/>
              <w:right w:val="single" w:sz="4" w:space="0" w:color="auto"/>
            </w:tcBorders>
            <w:shd w:val="clear" w:color="000000" w:fill="E4DFEC"/>
            <w:noWrap/>
            <w:vAlign w:val="bottom"/>
            <w:hideMark/>
          </w:tcPr>
          <w:p w14:paraId="44EEC1FD"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2" w:type="dxa"/>
            <w:tcBorders>
              <w:top w:val="nil"/>
              <w:left w:val="nil"/>
              <w:bottom w:val="single" w:sz="4" w:space="0" w:color="auto"/>
              <w:right w:val="single" w:sz="4" w:space="0" w:color="auto"/>
            </w:tcBorders>
            <w:shd w:val="clear" w:color="000000" w:fill="E4DFEC"/>
            <w:noWrap/>
            <w:vAlign w:val="bottom"/>
            <w:hideMark/>
          </w:tcPr>
          <w:p w14:paraId="083123A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992" w:type="dxa"/>
            <w:tcBorders>
              <w:top w:val="nil"/>
              <w:left w:val="nil"/>
              <w:bottom w:val="single" w:sz="4" w:space="0" w:color="auto"/>
              <w:right w:val="single" w:sz="4" w:space="0" w:color="auto"/>
            </w:tcBorders>
            <w:shd w:val="clear" w:color="000000" w:fill="E4DFEC"/>
            <w:noWrap/>
            <w:vAlign w:val="bottom"/>
            <w:hideMark/>
          </w:tcPr>
          <w:p w14:paraId="7A2720C6"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152" w:type="dxa"/>
            <w:tcBorders>
              <w:top w:val="nil"/>
              <w:left w:val="nil"/>
              <w:bottom w:val="single" w:sz="4" w:space="0" w:color="auto"/>
              <w:right w:val="single" w:sz="4" w:space="0" w:color="auto"/>
            </w:tcBorders>
            <w:shd w:val="clear" w:color="000000" w:fill="E4DFEC"/>
            <w:noWrap/>
            <w:vAlign w:val="bottom"/>
            <w:hideMark/>
          </w:tcPr>
          <w:p w14:paraId="1BB9BC52" w:rsidR="005A4D67" w:rsidRPr="00297BAD" w:rsidRDefault="005A4D67" w:rsidP="00952305">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58,800 </w:t>
            </w:r>
          </w:p>
        </w:tc>
        <w:tc>
          <w:tcPr>
            <w:tcW w:w="1135" w:type="dxa"/>
            <w:gridSpan w:val="2"/>
            <w:tcBorders>
              <w:top w:val="nil"/>
              <w:left w:val="nil"/>
              <w:bottom w:val="single" w:sz="4" w:space="0" w:color="auto"/>
              <w:right w:val="single" w:sz="4" w:space="0" w:color="auto"/>
            </w:tcBorders>
            <w:shd w:val="clear" w:color="000000" w:fill="E4DFEC"/>
            <w:noWrap/>
            <w:vAlign w:val="bottom"/>
            <w:hideMark/>
          </w:tcPr>
          <w:p w14:paraId="2B4A9C20" w:rsidR="005A4D67" w:rsidRPr="00297BAD" w:rsidRDefault="005A4D67" w:rsidP="00BD13D4">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32</w:t>
            </w:r>
          </w:p>
        </w:tc>
      </w:tr>
      <w:tr w14:paraId="661D5F56" w:rsidR="005A4D67" w:rsidRPr="00297BAD" w:rsidTr="00952305">
        <w:trPr>
          <w:trHeight w:val="300"/>
        </w:trPr>
        <w:tc>
          <w:tcPr>
            <w:tcW w:w="6662" w:type="dxa"/>
            <w:gridSpan w:val="4"/>
            <w:tcBorders>
              <w:top w:val="single" w:sz="4" w:space="0" w:color="auto"/>
              <w:left w:val="single" w:sz="4" w:space="0" w:color="auto"/>
              <w:bottom w:val="single" w:sz="4" w:space="0" w:color="auto"/>
              <w:right w:val="single" w:sz="4" w:space="0" w:color="000000"/>
            </w:tcBorders>
            <w:shd w:val="clear" w:color="000000" w:fill="B1A0C7"/>
            <w:noWrap/>
            <w:vAlign w:val="bottom"/>
            <w:hideMark/>
          </w:tcPr>
          <w:p w14:paraId="4A69C8AB" w:rsidR="005A4D67" w:rsidRPr="00297BAD" w:rsidRDefault="005A4D67"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 Project Management</w:t>
            </w:r>
          </w:p>
        </w:tc>
        <w:tc>
          <w:tcPr>
            <w:tcW w:w="992" w:type="dxa"/>
            <w:gridSpan w:val="2"/>
            <w:tcBorders>
              <w:top w:val="nil"/>
              <w:left w:val="nil"/>
              <w:bottom w:val="single" w:sz="4" w:space="0" w:color="auto"/>
              <w:right w:val="single" w:sz="4" w:space="0" w:color="auto"/>
            </w:tcBorders>
            <w:shd w:val="clear" w:color="000000" w:fill="B1A0C7"/>
            <w:noWrap/>
            <w:vAlign w:val="bottom"/>
            <w:hideMark/>
          </w:tcPr>
          <w:p w14:paraId="45184032" w:rsidR="005A4D67" w:rsidRPr="00297BAD" w:rsidRDefault="005A4D67"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B1A0C7"/>
            <w:noWrap/>
            <w:vAlign w:val="bottom"/>
            <w:hideMark/>
          </w:tcPr>
          <w:p w14:paraId="57EA1ED3"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27,969 </w:t>
            </w:r>
          </w:p>
        </w:tc>
        <w:tc>
          <w:tcPr>
            <w:tcW w:w="1134" w:type="dxa"/>
            <w:tcBorders>
              <w:top w:val="nil"/>
              <w:left w:val="nil"/>
              <w:bottom w:val="single" w:sz="4" w:space="0" w:color="auto"/>
              <w:right w:val="single" w:sz="4" w:space="0" w:color="auto"/>
            </w:tcBorders>
            <w:shd w:val="clear" w:color="000000" w:fill="B1A0C7"/>
            <w:noWrap/>
            <w:vAlign w:val="bottom"/>
            <w:hideMark/>
          </w:tcPr>
          <w:p w14:paraId="0AAF003B"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27,968 </w:t>
            </w:r>
          </w:p>
        </w:tc>
        <w:tc>
          <w:tcPr>
            <w:tcW w:w="993" w:type="dxa"/>
            <w:tcBorders>
              <w:top w:val="nil"/>
              <w:left w:val="nil"/>
              <w:bottom w:val="single" w:sz="4" w:space="0" w:color="auto"/>
              <w:right w:val="single" w:sz="4" w:space="0" w:color="auto"/>
            </w:tcBorders>
            <w:shd w:val="clear" w:color="000000" w:fill="B1A0C7"/>
            <w:noWrap/>
            <w:vAlign w:val="bottom"/>
            <w:hideMark/>
          </w:tcPr>
          <w:p w14:paraId="5E9E67B4"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27,968 </w:t>
            </w:r>
          </w:p>
        </w:tc>
        <w:tc>
          <w:tcPr>
            <w:tcW w:w="992" w:type="dxa"/>
            <w:tcBorders>
              <w:top w:val="nil"/>
              <w:left w:val="nil"/>
              <w:bottom w:val="single" w:sz="4" w:space="0" w:color="auto"/>
              <w:right w:val="single" w:sz="4" w:space="0" w:color="auto"/>
            </w:tcBorders>
            <w:shd w:val="clear" w:color="000000" w:fill="B1A0C7"/>
            <w:noWrap/>
            <w:vAlign w:val="bottom"/>
            <w:hideMark/>
          </w:tcPr>
          <w:p w14:paraId="491ACF28"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27,968 </w:t>
            </w:r>
          </w:p>
        </w:tc>
        <w:tc>
          <w:tcPr>
            <w:tcW w:w="992" w:type="dxa"/>
            <w:tcBorders>
              <w:top w:val="nil"/>
              <w:left w:val="nil"/>
              <w:bottom w:val="single" w:sz="4" w:space="0" w:color="auto"/>
              <w:right w:val="single" w:sz="4" w:space="0" w:color="auto"/>
            </w:tcBorders>
            <w:shd w:val="clear" w:color="000000" w:fill="B1A0C7"/>
            <w:noWrap/>
            <w:vAlign w:val="bottom"/>
            <w:hideMark/>
          </w:tcPr>
          <w:p w14:paraId="1B6AFB8D"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27,968 </w:t>
            </w:r>
          </w:p>
        </w:tc>
        <w:tc>
          <w:tcPr>
            <w:tcW w:w="1152" w:type="dxa"/>
            <w:tcBorders>
              <w:top w:val="nil"/>
              <w:left w:val="nil"/>
              <w:bottom w:val="single" w:sz="4" w:space="0" w:color="auto"/>
              <w:right w:val="single" w:sz="4" w:space="0" w:color="auto"/>
            </w:tcBorders>
            <w:shd w:val="clear" w:color="000000" w:fill="B1A0C7"/>
            <w:noWrap/>
            <w:vAlign w:val="bottom"/>
            <w:hideMark/>
          </w:tcPr>
          <w:p w14:paraId="2D87FB54" w:rsidR="005A4D67" w:rsidRPr="00297BAD" w:rsidRDefault="005A4D67"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139,841 </w:t>
            </w:r>
          </w:p>
        </w:tc>
        <w:tc>
          <w:tcPr>
            <w:tcW w:w="1135" w:type="dxa"/>
            <w:gridSpan w:val="2"/>
            <w:tcBorders>
              <w:top w:val="nil"/>
              <w:left w:val="nil"/>
              <w:bottom w:val="single" w:sz="4" w:space="0" w:color="auto"/>
              <w:right w:val="single" w:sz="4" w:space="0" w:color="auto"/>
            </w:tcBorders>
            <w:shd w:val="clear" w:color="000000" w:fill="B1A0C7"/>
            <w:noWrap/>
            <w:vAlign w:val="bottom"/>
            <w:hideMark/>
          </w:tcPr>
          <w:p w14:paraId="1B33F3B7" w:rsidR="005A4D67" w:rsidRPr="00297BAD" w:rsidRDefault="005A4D67"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w:t>
            </w:r>
          </w:p>
        </w:tc>
      </w:tr>
      <w:tr w14:paraId="52949930" w:rsidR="00952305" w:rsidRPr="00297BAD" w:rsidTr="00952305">
        <w:trPr>
          <w:trHeight w:val="300"/>
        </w:trPr>
        <w:tc>
          <w:tcPr>
            <w:tcW w:w="7654" w:type="dxa"/>
            <w:gridSpan w:val="6"/>
            <w:tcBorders>
              <w:top w:val="single" w:sz="4" w:space="0" w:color="auto"/>
              <w:left w:val="nil"/>
              <w:bottom w:val="single" w:sz="4" w:space="0" w:color="auto"/>
              <w:right w:val="single" w:sz="4" w:space="0" w:color="auto"/>
            </w:tcBorders>
            <w:shd w:val="clear" w:color="auto" w:fill="auto"/>
            <w:noWrap/>
            <w:vAlign w:val="bottom"/>
            <w:hideMark/>
          </w:tcPr>
          <w:p w14:paraId="728115CD"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single" w:sz="4" w:space="0" w:color="auto"/>
              <w:left w:val="nil"/>
              <w:bottom w:val="single" w:sz="4" w:space="0" w:color="auto"/>
              <w:right w:val="single" w:sz="4" w:space="0" w:color="auto"/>
            </w:tcBorders>
            <w:shd w:val="clear" w:color="auto" w:fill="auto"/>
            <w:vAlign w:val="bottom"/>
          </w:tcPr>
          <w:p w14:paraId="7E747D97"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7F1CD73A"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3E6B7620"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992" w:type="dxa"/>
            <w:tcBorders>
              <w:top w:val="single" w:sz="4" w:space="0" w:color="auto"/>
              <w:left w:val="single" w:sz="4" w:space="0" w:color="auto"/>
              <w:bottom w:val="single" w:sz="4" w:space="0" w:color="auto"/>
              <w:right w:val="nil"/>
            </w:tcBorders>
            <w:shd w:val="clear" w:color="auto" w:fill="auto"/>
            <w:vAlign w:val="bottom"/>
          </w:tcPr>
          <w:p w14:paraId="01FB2C1E"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992" w:type="dxa"/>
            <w:tcBorders>
              <w:top w:val="single" w:sz="4" w:space="0" w:color="auto"/>
              <w:left w:val="single" w:sz="4" w:space="0" w:color="auto"/>
              <w:bottom w:val="single" w:sz="4" w:space="0" w:color="auto"/>
              <w:right w:val="nil"/>
            </w:tcBorders>
            <w:shd w:val="clear" w:color="auto" w:fill="auto"/>
            <w:vAlign w:val="bottom"/>
          </w:tcPr>
          <w:p w14:paraId="71CF51A7"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1159" w:type="dxa"/>
            <w:gridSpan w:val="2"/>
            <w:tcBorders>
              <w:top w:val="single" w:sz="4" w:space="0" w:color="auto"/>
              <w:left w:val="single" w:sz="4" w:space="0" w:color="auto"/>
              <w:bottom w:val="single" w:sz="4" w:space="0" w:color="auto"/>
              <w:right w:val="nil"/>
            </w:tcBorders>
            <w:shd w:val="clear" w:color="auto" w:fill="auto"/>
            <w:vAlign w:val="bottom"/>
          </w:tcPr>
          <w:p w14:paraId="64B0EBB5"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c>
          <w:tcPr>
            <w:tcW w:w="1128" w:type="dxa"/>
            <w:tcBorders>
              <w:top w:val="single" w:sz="4" w:space="0" w:color="auto"/>
              <w:left w:val="single" w:sz="4" w:space="0" w:color="auto"/>
              <w:bottom w:val="single" w:sz="4" w:space="0" w:color="auto"/>
              <w:right w:val="nil"/>
            </w:tcBorders>
            <w:shd w:val="clear" w:color="auto" w:fill="auto"/>
            <w:vAlign w:val="bottom"/>
          </w:tcPr>
          <w:p w14:paraId="25E5D417"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p>
        </w:tc>
      </w:tr>
      <w:tr w14:paraId="4DD8D5E2" w:rsidR="00952305" w:rsidRPr="00297BAD" w:rsidTr="00952305">
        <w:trPr>
          <w:trHeight w:val="300"/>
        </w:trPr>
        <w:tc>
          <w:tcPr>
            <w:tcW w:w="6675" w:type="dxa"/>
            <w:gridSpan w:val="5"/>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865990A" w:rsidR="00952305" w:rsidRPr="00297BAD" w:rsidRDefault="00952305" w:rsidP="005A4D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 GEF PROJECT BUDGET</w:t>
            </w:r>
          </w:p>
        </w:tc>
        <w:tc>
          <w:tcPr>
            <w:tcW w:w="979" w:type="dxa"/>
            <w:tcBorders>
              <w:top w:val="single" w:sz="4" w:space="0" w:color="auto"/>
              <w:left w:val="single" w:sz="4" w:space="0" w:color="auto"/>
              <w:bottom w:val="single" w:sz="4" w:space="0" w:color="auto"/>
              <w:right w:val="single" w:sz="4" w:space="0" w:color="auto"/>
            </w:tcBorders>
            <w:shd w:val="clear" w:color="000000" w:fill="B1A0C7"/>
            <w:vAlign w:val="bottom"/>
          </w:tcPr>
          <w:p w14:paraId="3B5E6D3C" w:rsidR="00952305" w:rsidRPr="00297BAD" w:rsidRDefault="00952305" w:rsidP="005A4D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134" w:type="dxa"/>
            <w:tcBorders>
              <w:top w:val="nil"/>
              <w:left w:val="nil"/>
              <w:bottom w:val="single" w:sz="4" w:space="0" w:color="auto"/>
              <w:right w:val="single" w:sz="4" w:space="0" w:color="auto"/>
            </w:tcBorders>
            <w:shd w:val="clear" w:color="000000" w:fill="B1A0C7"/>
            <w:noWrap/>
            <w:vAlign w:val="bottom"/>
            <w:hideMark/>
          </w:tcPr>
          <w:p w14:paraId="2ACC61D5"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784,682 </w:t>
            </w:r>
          </w:p>
        </w:tc>
        <w:tc>
          <w:tcPr>
            <w:tcW w:w="1134" w:type="dxa"/>
            <w:tcBorders>
              <w:top w:val="nil"/>
              <w:left w:val="nil"/>
              <w:bottom w:val="single" w:sz="4" w:space="0" w:color="auto"/>
              <w:right w:val="single" w:sz="4" w:space="0" w:color="auto"/>
            </w:tcBorders>
            <w:shd w:val="clear" w:color="000000" w:fill="B1A0C7"/>
            <w:noWrap/>
            <w:vAlign w:val="bottom"/>
            <w:hideMark/>
          </w:tcPr>
          <w:p w14:paraId="6EA0CEC1"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855,631 </w:t>
            </w:r>
          </w:p>
        </w:tc>
        <w:tc>
          <w:tcPr>
            <w:tcW w:w="993" w:type="dxa"/>
            <w:tcBorders>
              <w:top w:val="nil"/>
              <w:left w:val="nil"/>
              <w:bottom w:val="single" w:sz="4" w:space="0" w:color="auto"/>
              <w:right w:val="single" w:sz="4" w:space="0" w:color="auto"/>
            </w:tcBorders>
            <w:shd w:val="clear" w:color="000000" w:fill="B1A0C7"/>
            <w:noWrap/>
            <w:vAlign w:val="bottom"/>
            <w:hideMark/>
          </w:tcPr>
          <w:p w14:paraId="655952BE"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518,222 </w:t>
            </w:r>
          </w:p>
        </w:tc>
        <w:tc>
          <w:tcPr>
            <w:tcW w:w="992" w:type="dxa"/>
            <w:tcBorders>
              <w:top w:val="nil"/>
              <w:left w:val="nil"/>
              <w:bottom w:val="single" w:sz="4" w:space="0" w:color="auto"/>
              <w:right w:val="single" w:sz="4" w:space="0" w:color="auto"/>
            </w:tcBorders>
            <w:shd w:val="clear" w:color="000000" w:fill="B1A0C7"/>
            <w:noWrap/>
            <w:vAlign w:val="bottom"/>
            <w:hideMark/>
          </w:tcPr>
          <w:p w14:paraId="0B96AC24"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456,193 </w:t>
            </w:r>
          </w:p>
        </w:tc>
        <w:tc>
          <w:tcPr>
            <w:tcW w:w="992" w:type="dxa"/>
            <w:tcBorders>
              <w:top w:val="nil"/>
              <w:left w:val="nil"/>
              <w:bottom w:val="single" w:sz="4" w:space="0" w:color="auto"/>
              <w:right w:val="single" w:sz="4" w:space="0" w:color="auto"/>
            </w:tcBorders>
            <w:shd w:val="clear" w:color="000000" w:fill="B1A0C7"/>
            <w:noWrap/>
            <w:vAlign w:val="bottom"/>
            <w:hideMark/>
          </w:tcPr>
          <w:p w14:paraId="30EA3B32"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416,938 </w:t>
            </w:r>
          </w:p>
        </w:tc>
        <w:tc>
          <w:tcPr>
            <w:tcW w:w="1152" w:type="dxa"/>
            <w:tcBorders>
              <w:top w:val="nil"/>
              <w:left w:val="nil"/>
              <w:bottom w:val="single" w:sz="4" w:space="0" w:color="auto"/>
              <w:right w:val="single" w:sz="4" w:space="0" w:color="auto"/>
            </w:tcBorders>
            <w:shd w:val="clear" w:color="000000" w:fill="B1A0C7"/>
            <w:noWrap/>
            <w:vAlign w:val="bottom"/>
            <w:hideMark/>
          </w:tcPr>
          <w:p w14:paraId="08B1D788" w:rsidR="00952305" w:rsidRPr="00297BAD" w:rsidRDefault="00952305" w:rsidP="00952305">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3,031,666 </w:t>
            </w:r>
          </w:p>
        </w:tc>
        <w:tc>
          <w:tcPr>
            <w:tcW w:w="1135" w:type="dxa"/>
            <w:gridSpan w:val="2"/>
            <w:tcBorders>
              <w:top w:val="nil"/>
              <w:left w:val="nil"/>
              <w:bottom w:val="single" w:sz="4" w:space="0" w:color="auto"/>
              <w:right w:val="single" w:sz="4" w:space="0" w:color="auto"/>
            </w:tcBorders>
            <w:shd w:val="clear" w:color="000000" w:fill="B1A0C7"/>
            <w:noWrap/>
            <w:vAlign w:val="bottom"/>
            <w:hideMark/>
          </w:tcPr>
          <w:p w14:paraId="5804ADB4" w:rsidR="00952305" w:rsidRPr="00297BAD" w:rsidRDefault="00952305" w:rsidP="005A4D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w:t>
            </w:r>
          </w:p>
        </w:tc>
      </w:tr>
    </w:tbl>
    <w:p w14:paraId="435333A9" w:rsidR="00F165D0" w:rsidRPr="00DC4545" w:rsidRDefault="00F165D0" w:rsidP="00F165D0">
      <w:pPr>
        <w:tabs>
          <w:tab w:val="left" w:pos="6331"/>
        </w:tabs>
        <w:rPr>
          <w:rFonts w:ascii="Times New Roman" w:hAnsi="Times New Roman" w:cs="Times New Roman"/>
        </w:rPr>
      </w:pPr>
      <w:r w:rsidRPr="00DC4545">
        <w:rPr>
          <w:rFonts w:ascii="Times New Roman" w:hAnsi="Times New Roman" w:cs="Times New Roman"/>
        </w:rPr>
        <w:tab/>
      </w:r>
    </w:p>
    <w:tbl>
      <w:tblPr>
        <w:tblW w:w="11631" w:type="dxa"/>
        <w:tblInd w:w="-176" w:type="dxa"/>
        <w:tblLook w:val="04A0" w:firstRow="1" w:lastRow="0" w:firstColumn="1" w:lastColumn="0" w:noHBand="0" w:noVBand="1"/>
      </w:tblPr>
      <w:tblGrid>
        <w:gridCol w:w="9920"/>
        <w:gridCol w:w="271"/>
        <w:gridCol w:w="1440"/>
      </w:tblGrid>
      <w:tr w14:paraId="24CA0168" w:rsidR="00370D71" w:rsidRPr="00297BAD" w:rsidTr="00297BAD">
        <w:trPr>
          <w:trHeight w:val="300"/>
        </w:trPr>
        <w:tc>
          <w:tcPr>
            <w:tcW w:w="9920" w:type="dxa"/>
            <w:tcBorders>
              <w:top w:val="single" w:sz="4" w:space="0" w:color="auto"/>
              <w:left w:val="single" w:sz="4" w:space="0" w:color="auto"/>
              <w:bottom w:val="single" w:sz="4" w:space="0" w:color="auto"/>
              <w:right w:val="nil"/>
            </w:tcBorders>
            <w:shd w:val="clear" w:color="auto" w:fill="948A54" w:themeFill="background2" w:themeFillShade="80"/>
            <w:noWrap/>
            <w:vAlign w:val="bottom"/>
            <w:hideMark/>
          </w:tcPr>
          <w:p w14:paraId="055F2A4B" w:rsidR="00370D71" w:rsidRPr="00297BAD" w:rsidRDefault="00370D71" w:rsidP="0042567A">
            <w:pPr>
              <w:spacing w:after="0" w:line="240" w:lineRule="auto"/>
              <w:rPr>
                <w:rFonts w:ascii="Times New Roman" w:eastAsia="Times New Roman" w:hAnsi="Times New Roman" w:cs="Times New Roman"/>
                <w:b/>
                <w:bCs/>
                <w:color w:val="000000"/>
              </w:rPr>
            </w:pPr>
            <w:r w:rsidRPr="00297BAD">
              <w:rPr>
                <w:rFonts w:ascii="Times New Roman" w:hAnsi="Times New Roman" w:eastAsia="Times New Roman" w:cs="Times New Roman"/>
                <w:b/>
                <w:bCs/>
                <w:color w:val="000000"/>
              </w:rPr>
              <w:t>TOTAL BUDGET SUMMARY</w:t>
            </w:r>
          </w:p>
        </w:tc>
        <w:tc>
          <w:tcPr>
            <w:tcW w:w="271" w:type="dxa"/>
            <w:tcBorders>
              <w:top w:val="single" w:sz="4" w:space="0" w:color="auto"/>
              <w:left w:val="nil"/>
              <w:bottom w:val="single" w:sz="4" w:space="0" w:color="auto"/>
              <w:right w:val="nil"/>
            </w:tcBorders>
            <w:shd w:val="clear" w:color="auto" w:fill="948A54" w:themeFill="background2" w:themeFillShade="80"/>
            <w:noWrap/>
            <w:vAlign w:val="bottom"/>
            <w:hideMark/>
          </w:tcPr>
          <w:p w14:paraId="685F16EC" w:rsidR="00370D71" w:rsidRPr="00297BAD" w:rsidRDefault="00370D71" w:rsidP="0042567A">
            <w:pPr>
              <w:spacing w:after="0" w:line="240" w:lineRule="auto"/>
              <w:rPr>
                <w:rFonts w:ascii="Times New Roman" w:eastAsia="Times New Roman" w:hAnsi="Times New Roman" w:cs="Times New Roman"/>
                <w:b/>
                <w:bCs/>
                <w:color w:val="000000"/>
              </w:rPr>
            </w:pPr>
            <w:r w:rsidRPr="00297BAD">
              <w:rPr>
                <w:rFonts w:ascii="Times New Roman" w:hAnsi="Times New Roman" w:eastAsia="Times New Roman" w:cs="Times New Roman"/>
                <w:b/>
                <w:bCs/>
                <w:color w:val="000000"/>
              </w:rPr>
              <w:t> </w:t>
            </w:r>
          </w:p>
        </w:tc>
        <w:tc>
          <w:tcPr>
            <w:tcW w:w="1440" w:type="dxa"/>
            <w:tcBorders>
              <w:top w:val="single" w:sz="4" w:space="0" w:color="auto"/>
              <w:left w:val="nil"/>
              <w:bottom w:val="single" w:sz="4" w:space="0" w:color="auto"/>
              <w:right w:val="single" w:sz="4" w:space="0" w:color="auto"/>
            </w:tcBorders>
            <w:shd w:val="clear" w:color="auto" w:fill="948A54" w:themeFill="background2" w:themeFillShade="80"/>
            <w:noWrap/>
            <w:vAlign w:val="bottom"/>
            <w:hideMark/>
          </w:tcPr>
          <w:p w14:paraId="574621B1" w:rsidR="00370D71" w:rsidRPr="00297BAD" w:rsidRDefault="00370D71" w:rsidP="0042567A">
            <w:pPr>
              <w:spacing w:after="0" w:line="240" w:lineRule="auto"/>
              <w:rPr>
                <w:rFonts w:ascii="Times New Roman" w:eastAsia="Times New Roman" w:hAnsi="Times New Roman" w:cs="Times New Roman"/>
                <w:b/>
                <w:bCs/>
                <w:color w:val="000000"/>
              </w:rPr>
            </w:pPr>
            <w:r w:rsidRPr="00297BAD">
              <w:rPr>
                <w:rFonts w:ascii="Times New Roman" w:hAnsi="Times New Roman" w:eastAsia="Times New Roman" w:cs="Times New Roman"/>
                <w:b/>
                <w:bCs/>
                <w:color w:val="000000"/>
              </w:rPr>
              <w:t> </w:t>
            </w:r>
          </w:p>
        </w:tc>
      </w:tr>
      <w:tr w14:paraId="02BE70CC" w:rsidR="00370D71" w:rsidRPr="00297BAD" w:rsidTr="00297BAD">
        <w:trPr>
          <w:trHeight w:val="600"/>
        </w:trPr>
        <w:tc>
          <w:tcPr>
            <w:tcW w:w="9920" w:type="dxa"/>
            <w:tcBorders>
              <w:top w:val="nil"/>
              <w:left w:val="single" w:sz="4" w:space="0" w:color="auto"/>
              <w:bottom w:val="single" w:sz="4" w:space="0" w:color="auto"/>
              <w:right w:val="single" w:sz="4" w:space="0" w:color="auto"/>
            </w:tcBorders>
            <w:shd w:val="clear" w:color="auto" w:fill="948A54" w:themeFill="background2" w:themeFillShade="80"/>
            <w:noWrap/>
            <w:vAlign w:val="center"/>
            <w:hideMark/>
          </w:tcPr>
          <w:p w14:paraId="12B6AEC1" w:rsidR="00370D71" w:rsidRPr="00297BAD" w:rsidRDefault="00370D71" w:rsidP="0042567A">
            <w:pPr>
              <w:spacing w:after="0" w:line="240" w:lineRule="auto"/>
              <w:rPr>
                <w:rFonts w:ascii="Times New Roman" w:eastAsia="Times New Roman" w:hAnsi="Times New Roman" w:cs="Times New Roman"/>
                <w:b/>
                <w:bCs/>
                <w:color w:val="000000"/>
              </w:rPr>
            </w:pPr>
            <w:r w:rsidRPr="00297BAD">
              <w:rPr>
                <w:rFonts w:ascii="Times New Roman" w:hAnsi="Times New Roman" w:eastAsia="Times New Roman" w:cs="Times New Roman"/>
                <w:b/>
                <w:bCs/>
                <w:color w:val="000000"/>
              </w:rPr>
              <w:t>DONOR NAME</w:t>
            </w:r>
          </w:p>
        </w:tc>
        <w:tc>
          <w:tcPr>
            <w:tcW w:w="1711" w:type="dxa"/>
            <w:gridSpan w:val="2"/>
            <w:tcBorders>
              <w:top w:val="nil"/>
              <w:left w:val="nil"/>
              <w:bottom w:val="single" w:sz="4" w:space="0" w:color="auto"/>
              <w:right w:val="single" w:sz="4" w:space="0" w:color="auto"/>
            </w:tcBorders>
            <w:shd w:val="clear" w:color="auto" w:fill="948A54" w:themeFill="background2" w:themeFillShade="80"/>
            <w:vAlign w:val="center"/>
            <w:hideMark/>
          </w:tcPr>
          <w:p w14:paraId="5CD5B153" w:rsidR="00370D71" w:rsidRPr="00297BAD" w:rsidRDefault="00370D71" w:rsidP="0042567A">
            <w:pPr>
              <w:spacing w:after="0" w:line="240" w:lineRule="auto"/>
              <w:rPr>
                <w:rFonts w:ascii="Times New Roman" w:eastAsia="Times New Roman" w:hAnsi="Times New Roman" w:cs="Times New Roman"/>
                <w:b/>
                <w:bCs/>
                <w:color w:val="000000"/>
              </w:rPr>
            </w:pPr>
            <w:r w:rsidRPr="00297BAD">
              <w:rPr>
                <w:rFonts w:ascii="Times New Roman" w:hAnsi="Times New Roman" w:eastAsia="Times New Roman" w:cs="Times New Roman"/>
                <w:b/>
                <w:bCs/>
                <w:color w:val="000000"/>
              </w:rPr>
              <w:t>TOTAL USD</w:t>
            </w:r>
          </w:p>
        </w:tc>
      </w:tr>
      <w:tr w14:paraId="29D99E1C" w:rsidR="00370D71" w:rsidRPr="00297BAD" w:rsidTr="00297BAD">
        <w:trPr>
          <w:trHeight w:val="300"/>
        </w:trPr>
        <w:tc>
          <w:tcPr>
            <w:tcW w:w="9920" w:type="dxa"/>
            <w:tcBorders>
              <w:top w:val="nil"/>
              <w:left w:val="single" w:sz="4" w:space="0" w:color="auto"/>
              <w:bottom w:val="single" w:sz="4" w:space="0" w:color="auto"/>
              <w:right w:val="nil"/>
            </w:tcBorders>
            <w:shd w:val="clear" w:color="auto" w:fill="auto"/>
            <w:noWrap/>
            <w:vAlign w:val="bottom"/>
            <w:hideMark/>
          </w:tcPr>
          <w:p w14:paraId="4E8E39E1" w:rsidR="00370D71" w:rsidRPr="00297BAD" w:rsidRDefault="00370D71" w:rsidP="0042567A">
            <w:pPr>
              <w:spacing w:after="0" w:line="240" w:lineRule="auto"/>
              <w:rPr>
                <w:rFonts w:ascii="Times New Roman" w:eastAsia="Times New Roman" w:hAnsi="Times New Roman" w:cs="Times New Roman"/>
                <w:color w:val="000000"/>
              </w:rPr>
            </w:pPr>
            <w:r w:rsidRPr="00297BAD">
              <w:rPr>
                <w:rFonts w:ascii="Times New Roman" w:hAnsi="Times New Roman" w:eastAsia="Times New Roman" w:cs="Times New Roman"/>
                <w:color w:val="000000"/>
              </w:rPr>
              <w:t> </w:t>
            </w:r>
          </w:p>
        </w:tc>
        <w:tc>
          <w:tcPr>
            <w:tcW w:w="1711" w:type="dxa"/>
            <w:gridSpan w:val="2"/>
            <w:tcBorders>
              <w:top w:val="nil"/>
              <w:left w:val="nil"/>
              <w:bottom w:val="single" w:sz="4" w:space="0" w:color="auto"/>
              <w:right w:val="single" w:sz="4" w:space="0" w:color="auto"/>
            </w:tcBorders>
            <w:shd w:val="clear" w:color="auto" w:fill="auto"/>
            <w:noWrap/>
            <w:vAlign w:val="bottom"/>
            <w:hideMark/>
          </w:tcPr>
          <w:p w14:paraId="2E042955" w:rsidR="00370D71" w:rsidRPr="00297BAD" w:rsidRDefault="00370D71" w:rsidP="0042567A">
            <w:pPr>
              <w:spacing w:after="0" w:line="240" w:lineRule="auto"/>
              <w:rPr>
                <w:rFonts w:ascii="Times New Roman" w:eastAsia="Times New Roman" w:hAnsi="Times New Roman" w:cs="Times New Roman"/>
                <w:color w:val="000000"/>
              </w:rPr>
            </w:pPr>
            <w:r w:rsidRPr="00297BAD">
              <w:rPr>
                <w:rFonts w:ascii="Times New Roman" w:hAnsi="Times New Roman" w:eastAsia="Times New Roman" w:cs="Times New Roman"/>
                <w:color w:val="000000"/>
              </w:rPr>
              <w:t> </w:t>
            </w:r>
          </w:p>
        </w:tc>
      </w:tr>
      <w:tr w14:paraId="4AB2976E" w:rsidR="00370D71" w:rsidRPr="00297BAD" w:rsidTr="00297BAD">
        <w:trPr>
          <w:trHeight w:val="300"/>
        </w:trPr>
        <w:tc>
          <w:tcPr>
            <w:tcW w:w="9920" w:type="dxa"/>
            <w:tcBorders>
              <w:top w:val="nil"/>
              <w:left w:val="single" w:sz="4" w:space="0" w:color="auto"/>
              <w:bottom w:val="single" w:sz="4" w:space="0" w:color="auto"/>
              <w:right w:val="single" w:sz="4" w:space="0" w:color="auto"/>
            </w:tcBorders>
            <w:shd w:val="clear" w:color="auto" w:fill="auto"/>
            <w:noWrap/>
            <w:vAlign w:val="center"/>
          </w:tcPr>
          <w:p w14:paraId="5D160876" w:rsidR="00370D71" w:rsidRPr="00297BAD" w:rsidRDefault="00370D71" w:rsidP="00297BAD">
            <w:pPr>
              <w:spacing w:after="6" w:line="230" w:lineRule="exact"/>
              <w:ind w:left="108" w:right="972"/>
              <w:rPr>
                <w:rFonts w:ascii="Times New Roman" w:eastAsia="Times New Roman" w:hAnsi="Times New Roman" w:cs="Times New Roman"/>
                <w:color w:val="000000"/>
              </w:rPr>
            </w:pPr>
            <w:r w:rsidRPr="00297BAD">
              <w:rPr>
                <w:rFonts w:ascii="Times New Roman" w:hAnsi="Times New Roman" w:eastAsia="Times New Roman" w:cs="Times New Roman"/>
                <w:color w:val="000000"/>
              </w:rPr>
              <w:t>GEF</w:t>
            </w:r>
          </w:p>
        </w:tc>
        <w:tc>
          <w:tcPr>
            <w:tcW w:w="1711" w:type="dxa"/>
            <w:gridSpan w:val="2"/>
            <w:tcBorders>
              <w:top w:val="nil"/>
              <w:left w:val="nil"/>
              <w:bottom w:val="single" w:sz="4" w:space="0" w:color="auto"/>
              <w:right w:val="single" w:sz="4" w:space="0" w:color="auto"/>
            </w:tcBorders>
            <w:shd w:val="clear" w:color="auto" w:fill="auto"/>
            <w:noWrap/>
            <w:vAlign w:val="center"/>
          </w:tcPr>
          <w:p w14:paraId="30F554C0" w:rsidR="00370D71" w:rsidRPr="00297BAD" w:rsidRDefault="00370D71" w:rsidP="00297BAD">
            <w:pPr>
              <w:spacing w:after="0" w:line="240" w:lineRule="auto"/>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3,031,666</w:t>
            </w:r>
          </w:p>
        </w:tc>
      </w:tr>
      <w:tr w14:paraId="21D46442" w:rsidR="00370D71" w:rsidRPr="00297BAD" w:rsidTr="00297BAD">
        <w:trPr>
          <w:trHeight w:val="406"/>
        </w:trPr>
        <w:tc>
          <w:tcPr>
            <w:tcW w:w="9920" w:type="dxa"/>
            <w:tcBorders>
              <w:top w:val="nil"/>
              <w:left w:val="single" w:sz="4" w:space="0" w:color="auto"/>
              <w:bottom w:val="single" w:sz="4" w:space="0" w:color="auto"/>
              <w:right w:val="single" w:sz="4" w:space="0" w:color="auto"/>
            </w:tcBorders>
            <w:shd w:val="clear" w:color="auto" w:fill="auto"/>
            <w:noWrap/>
            <w:vAlign w:val="center"/>
            <w:hideMark/>
          </w:tcPr>
          <w:p w14:paraId="17EB9198" w:rsidR="00370D71" w:rsidRPr="00297BAD" w:rsidRDefault="00370D71" w:rsidP="00297BAD">
            <w:pPr>
              <w:spacing w:after="6" w:line="230" w:lineRule="exact"/>
              <w:ind w:left="108" w:right="972"/>
              <w:rPr>
                <w:rFonts w:ascii="Times New Roman" w:eastAsia="Times New Roman" w:hAnsi="Times New Roman" w:cs="Times New Roman"/>
                <w:color w:val="000000"/>
              </w:rPr>
            </w:pPr>
            <w:r w:rsidRPr="00297BAD">
              <w:rPr>
                <w:rFonts w:ascii="Times New Roman" w:hAnsi="Times New Roman" w:eastAsia="Times New Roman" w:cs="Times New Roman"/>
                <w:color w:val="000000"/>
              </w:rPr>
              <w:t>Ministry of Agriculture, Lands, Forestry, Fisheries and the Environment – Environment Division</w:t>
            </w:r>
          </w:p>
        </w:tc>
        <w:tc>
          <w:tcPr>
            <w:tcW w:w="1711" w:type="dxa"/>
            <w:gridSpan w:val="2"/>
            <w:tcBorders>
              <w:top w:val="nil"/>
              <w:left w:val="nil"/>
              <w:bottom w:val="single" w:sz="4" w:space="0" w:color="auto"/>
              <w:right w:val="single" w:sz="4" w:space="0" w:color="auto"/>
            </w:tcBorders>
            <w:shd w:val="clear" w:color="auto" w:fill="auto"/>
            <w:noWrap/>
            <w:vAlign w:val="center"/>
          </w:tcPr>
          <w:p w14:paraId="59F4C44D" w:rsidR="00370D71" w:rsidRPr="00297BAD" w:rsidRDefault="00370D71" w:rsidP="00297BAD">
            <w:pPr>
              <w:spacing w:after="236" w:line="227" w:lineRule="exact"/>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6,130,525</w:t>
            </w:r>
          </w:p>
        </w:tc>
      </w:tr>
      <w:tr w14:paraId="1CD5C070" w:rsidR="00370D71" w:rsidRPr="00297BAD" w:rsidTr="00297BAD">
        <w:trPr>
          <w:trHeight w:val="484"/>
        </w:trPr>
        <w:tc>
          <w:tcPr>
            <w:tcW w:w="9920" w:type="dxa"/>
            <w:tcBorders>
              <w:top w:val="nil"/>
              <w:left w:val="single" w:sz="4" w:space="0" w:color="auto"/>
              <w:bottom w:val="single" w:sz="4" w:space="0" w:color="auto"/>
              <w:right w:val="single" w:sz="4" w:space="0" w:color="auto"/>
            </w:tcBorders>
            <w:shd w:val="clear" w:color="auto" w:fill="auto"/>
            <w:noWrap/>
            <w:vAlign w:val="center"/>
            <w:hideMark/>
          </w:tcPr>
          <w:p w14:paraId="6A0E6C74" w:rsidR="00370D71" w:rsidRPr="00297BAD" w:rsidRDefault="00370D71" w:rsidP="00297BAD">
            <w:pPr>
              <w:spacing w:line="224" w:lineRule="exact"/>
              <w:ind w:left="106"/>
              <w:rPr>
                <w:rFonts w:ascii="Times New Roman" w:eastAsia="Times New Roman" w:hAnsi="Times New Roman" w:cs="Times New Roman"/>
                <w:color w:val="000000"/>
              </w:rPr>
            </w:pPr>
            <w:r w:rsidRPr="00297BAD">
              <w:rPr>
                <w:rFonts w:ascii="Times New Roman" w:hAnsi="Times New Roman" w:eastAsia="Times New Roman" w:cs="Times New Roman"/>
                <w:color w:val="000000"/>
              </w:rPr>
              <w:t>Ministry of Agriculture, Lands, Forestry, Fisheries and the Environment –Forestry &amp; National Parks Division</w:t>
            </w:r>
          </w:p>
        </w:tc>
        <w:tc>
          <w:tcPr>
            <w:tcW w:w="1711" w:type="dxa"/>
            <w:gridSpan w:val="2"/>
            <w:tcBorders>
              <w:top w:val="nil"/>
              <w:left w:val="nil"/>
              <w:bottom w:val="single" w:sz="4" w:space="0" w:color="auto"/>
              <w:right w:val="single" w:sz="4" w:space="0" w:color="auto"/>
            </w:tcBorders>
            <w:shd w:val="clear" w:color="auto" w:fill="auto"/>
            <w:noWrap/>
            <w:vAlign w:val="center"/>
          </w:tcPr>
          <w:p w14:paraId="4AB48C73" w:rsidR="00370D71" w:rsidRPr="00297BAD" w:rsidRDefault="00370D71" w:rsidP="00297BAD">
            <w:pPr>
              <w:spacing w:line="224" w:lineRule="exact"/>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2,250,000</w:t>
            </w:r>
          </w:p>
        </w:tc>
      </w:tr>
      <w:tr w14:paraId="1C9ADA19" w:rsidR="00370D71" w:rsidRPr="00297BAD" w:rsidTr="00297BAD">
        <w:trPr>
          <w:trHeight w:val="300"/>
        </w:trPr>
        <w:tc>
          <w:tcPr>
            <w:tcW w:w="9920" w:type="dxa"/>
            <w:tcBorders>
              <w:top w:val="nil"/>
              <w:left w:val="single" w:sz="4" w:space="0" w:color="auto"/>
              <w:bottom w:val="single" w:sz="4" w:space="0" w:color="auto"/>
              <w:right w:val="single" w:sz="4" w:space="0" w:color="auto"/>
            </w:tcBorders>
            <w:shd w:val="clear" w:color="auto" w:fill="auto"/>
            <w:noWrap/>
            <w:vAlign w:val="center"/>
            <w:hideMark/>
          </w:tcPr>
          <w:p w14:paraId="531F7055" w:rsidR="00370D71" w:rsidRPr="00297BAD" w:rsidRDefault="00370D71" w:rsidP="00297BAD">
            <w:pPr>
              <w:spacing w:after="2" w:line="227" w:lineRule="exact"/>
              <w:ind w:left="106"/>
              <w:rPr>
                <w:rFonts w:ascii="Times New Roman" w:eastAsia="Times New Roman" w:hAnsi="Times New Roman" w:cs="Times New Roman"/>
                <w:color w:val="000000"/>
              </w:rPr>
            </w:pPr>
            <w:r w:rsidRPr="00297BAD">
              <w:rPr>
                <w:rFonts w:ascii="Times New Roman" w:hAnsi="Times New Roman" w:eastAsia="Times New Roman" w:cs="Times New Roman"/>
                <w:color w:val="000000"/>
              </w:rPr>
              <w:t>Ministry of Agriculture, Lands, Forestry, Fisheries and the Environment –Fisheries Division</w:t>
            </w:r>
          </w:p>
        </w:tc>
        <w:tc>
          <w:tcPr>
            <w:tcW w:w="1711" w:type="dxa"/>
            <w:gridSpan w:val="2"/>
            <w:tcBorders>
              <w:top w:val="nil"/>
              <w:left w:val="nil"/>
              <w:bottom w:val="single" w:sz="4" w:space="0" w:color="auto"/>
              <w:right w:val="single" w:sz="4" w:space="0" w:color="auto"/>
            </w:tcBorders>
            <w:shd w:val="clear" w:color="auto" w:fill="auto"/>
            <w:noWrap/>
            <w:vAlign w:val="center"/>
          </w:tcPr>
          <w:p w14:paraId="238037EC" w:rsidR="00370D71" w:rsidRPr="00297BAD" w:rsidRDefault="00370D71" w:rsidP="00297BAD">
            <w:pPr>
              <w:spacing w:after="2" w:line="227" w:lineRule="exact"/>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4,629,630</w:t>
            </w:r>
          </w:p>
        </w:tc>
      </w:tr>
      <w:tr w14:paraId="54414CAF" w:rsidR="00370D71" w:rsidRPr="00297BAD" w:rsidTr="00297BAD">
        <w:trPr>
          <w:trHeight w:val="300"/>
        </w:trPr>
        <w:tc>
          <w:tcPr>
            <w:tcW w:w="9920" w:type="dxa"/>
            <w:tcBorders>
              <w:top w:val="nil"/>
              <w:left w:val="single" w:sz="4" w:space="0" w:color="auto"/>
              <w:bottom w:val="single" w:sz="4" w:space="0" w:color="auto"/>
              <w:right w:val="single" w:sz="4" w:space="0" w:color="auto"/>
            </w:tcBorders>
            <w:shd w:val="clear" w:color="auto" w:fill="auto"/>
            <w:noWrap/>
            <w:vAlign w:val="center"/>
            <w:hideMark/>
          </w:tcPr>
          <w:p w14:paraId="4DE0E66F" w:rsidR="00370D71" w:rsidRPr="00297BAD" w:rsidRDefault="00370D71" w:rsidP="00297BAD">
            <w:pPr>
              <w:spacing w:after="6" w:line="227" w:lineRule="exact"/>
              <w:ind w:left="106"/>
              <w:rPr>
                <w:rFonts w:ascii="Times New Roman" w:eastAsia="Times New Roman" w:hAnsi="Times New Roman" w:cs="Times New Roman"/>
                <w:color w:val="000000"/>
              </w:rPr>
            </w:pPr>
            <w:r w:rsidRPr="00297BAD">
              <w:rPr>
                <w:rFonts w:ascii="Times New Roman" w:hAnsi="Times New Roman" w:eastAsia="Times New Roman" w:cs="Times New Roman"/>
                <w:color w:val="000000"/>
              </w:rPr>
              <w:t>Ministry of Tourism</w:t>
            </w:r>
          </w:p>
        </w:tc>
        <w:tc>
          <w:tcPr>
            <w:tcW w:w="1711" w:type="dxa"/>
            <w:gridSpan w:val="2"/>
            <w:tcBorders>
              <w:top w:val="nil"/>
              <w:left w:val="nil"/>
              <w:bottom w:val="single" w:sz="4" w:space="0" w:color="auto"/>
              <w:right w:val="single" w:sz="4" w:space="0" w:color="auto"/>
            </w:tcBorders>
            <w:shd w:val="clear" w:color="auto" w:fill="auto"/>
            <w:noWrap/>
            <w:vAlign w:val="center"/>
          </w:tcPr>
          <w:p w14:paraId="72E50315" w:rsidR="00370D71" w:rsidRPr="00297BAD" w:rsidRDefault="00370D71" w:rsidP="00297BAD">
            <w:pPr>
              <w:spacing w:after="6" w:line="227" w:lineRule="exact"/>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2,166,667</w:t>
            </w:r>
          </w:p>
        </w:tc>
      </w:tr>
      <w:tr w14:paraId="2ABEF21A" w:rsidR="00370D71" w:rsidRPr="00297BAD" w:rsidTr="00297BAD">
        <w:trPr>
          <w:trHeight w:val="305"/>
        </w:trPr>
        <w:tc>
          <w:tcPr>
            <w:tcW w:w="9920" w:type="dxa"/>
            <w:tcBorders>
              <w:top w:val="nil"/>
              <w:left w:val="single" w:sz="4" w:space="0" w:color="auto"/>
              <w:bottom w:val="single" w:sz="4" w:space="0" w:color="auto"/>
              <w:right w:val="single" w:sz="4" w:space="0" w:color="auto"/>
            </w:tcBorders>
            <w:shd w:val="clear" w:color="auto" w:fill="auto"/>
            <w:vAlign w:val="center"/>
            <w:hideMark/>
          </w:tcPr>
          <w:p w14:paraId="1F9D66D6" w:rsidR="00370D71" w:rsidRPr="00297BAD" w:rsidRDefault="00370D71" w:rsidP="00297BAD">
            <w:pPr>
              <w:spacing w:after="11" w:line="227" w:lineRule="exact"/>
              <w:ind w:left="106"/>
              <w:rPr>
                <w:rFonts w:ascii="Times New Roman" w:eastAsia="Times New Roman" w:hAnsi="Times New Roman" w:cs="Times New Roman"/>
                <w:color w:val="000000"/>
              </w:rPr>
            </w:pPr>
            <w:r w:rsidRPr="00297BAD">
              <w:rPr>
                <w:rFonts w:ascii="Times New Roman" w:hAnsi="Times New Roman" w:eastAsia="Times New Roman" w:cs="Times New Roman"/>
                <w:color w:val="000000"/>
              </w:rPr>
              <w:t>UNDP</w:t>
            </w:r>
          </w:p>
        </w:tc>
        <w:tc>
          <w:tcPr>
            <w:tcW w:w="1711" w:type="dxa"/>
            <w:gridSpan w:val="2"/>
            <w:tcBorders>
              <w:top w:val="nil"/>
              <w:left w:val="nil"/>
              <w:bottom w:val="single" w:sz="4" w:space="0" w:color="auto"/>
              <w:right w:val="single" w:sz="4" w:space="0" w:color="auto"/>
            </w:tcBorders>
            <w:shd w:val="clear" w:color="auto" w:fill="auto"/>
            <w:noWrap/>
            <w:vAlign w:val="center"/>
          </w:tcPr>
          <w:p w14:paraId="56777170" w:rsidR="00370D71" w:rsidRPr="00297BAD" w:rsidRDefault="00370D71" w:rsidP="00297BAD">
            <w:pPr>
              <w:spacing w:after="11" w:line="227" w:lineRule="exact"/>
              <w:ind w:right="182"/>
              <w:jc w:val="right"/>
              <w:rPr>
                <w:rFonts w:ascii="Times New Roman" w:eastAsia="Times New Roman" w:hAnsi="Times New Roman" w:cs="Times New Roman"/>
                <w:color w:val="000000"/>
              </w:rPr>
            </w:pPr>
            <w:r w:rsidRPr="00297BAD">
              <w:rPr>
                <w:rFonts w:ascii="Times New Roman" w:hAnsi="Times New Roman" w:eastAsia="Times New Roman" w:cs="Times New Roman"/>
                <w:color w:val="000000"/>
              </w:rPr>
              <w:t>250,000</w:t>
            </w:r>
          </w:p>
        </w:tc>
      </w:tr>
      <w:tr w14:paraId="7290CC14" w:rsidR="00370D71" w:rsidRPr="00297BAD" w:rsidTr="00297BAD">
        <w:trPr>
          <w:trHeight w:val="422"/>
        </w:trPr>
        <w:tc>
          <w:tcPr>
            <w:tcW w:w="9920" w:type="dxa"/>
            <w:tcBorders>
              <w:top w:val="nil"/>
              <w:left w:val="single" w:sz="4" w:space="0" w:color="auto"/>
              <w:bottom w:val="single" w:sz="4" w:space="0" w:color="auto"/>
              <w:right w:val="single" w:sz="4" w:space="0" w:color="auto"/>
            </w:tcBorders>
            <w:shd w:val="clear" w:color="auto" w:fill="auto"/>
            <w:noWrap/>
            <w:vAlign w:val="center"/>
            <w:hideMark/>
          </w:tcPr>
          <w:p w14:paraId="7F185416" w:rsidR="00370D71" w:rsidRPr="00297BAD" w:rsidRDefault="00370D71" w:rsidP="0042567A">
            <w:pPr>
              <w:spacing w:after="0" w:line="240" w:lineRule="auto"/>
              <w:rPr>
                <w:rFonts w:ascii="Times New Roman" w:eastAsia="Times New Roman" w:hAnsi="Times New Roman" w:cs="Times New Roman"/>
                <w:b/>
                <w:color w:val="000000"/>
              </w:rPr>
            </w:pPr>
            <w:r w:rsidRPr="00297BAD">
              <w:rPr>
                <w:rFonts w:ascii="Times New Roman" w:hAnsi="Times New Roman" w:eastAsia="Times New Roman" w:cs="Times New Roman"/>
                <w:b/>
                <w:color w:val="000000"/>
              </w:rPr>
              <w:t>TOTAL</w:t>
            </w:r>
          </w:p>
        </w:tc>
        <w:tc>
          <w:tcPr>
            <w:tcW w:w="1711" w:type="dxa"/>
            <w:gridSpan w:val="2"/>
            <w:tcBorders>
              <w:top w:val="nil"/>
              <w:left w:val="nil"/>
              <w:bottom w:val="single" w:sz="4" w:space="0" w:color="auto"/>
              <w:right w:val="single" w:sz="4" w:space="0" w:color="auto"/>
            </w:tcBorders>
            <w:shd w:val="clear" w:color="auto" w:fill="auto"/>
            <w:noWrap/>
            <w:vAlign w:val="center"/>
            <w:hideMark/>
          </w:tcPr>
          <w:p w14:paraId="2DB42C82" w:rsidR="00370D71" w:rsidRPr="00297BAD" w:rsidRDefault="00370D71" w:rsidP="00297BAD">
            <w:pPr>
              <w:spacing w:after="0" w:line="240" w:lineRule="auto"/>
              <w:ind w:right="182"/>
              <w:jc w:val="right"/>
              <w:rPr>
                <w:rFonts w:ascii="Times New Roman" w:eastAsia="Times New Roman" w:hAnsi="Times New Roman" w:cs="Times New Roman"/>
                <w:b/>
                <w:color w:val="000000"/>
              </w:rPr>
            </w:pPr>
            <w:r w:rsidRPr="00297BAD">
              <w:rPr>
                <w:rFonts w:ascii="Times New Roman" w:hAnsi="Times New Roman" w:eastAsia="Times New Roman" w:cs="Times New Roman"/>
                <w:b/>
                <w:color w:val="000000"/>
              </w:rPr>
              <w:t> 18,458,488</w:t>
            </w:r>
          </w:p>
        </w:tc>
      </w:tr>
    </w:tbl>
    <w:p w14:paraId="4068F7A0" w:rsidR="00F165D0" w:rsidRPr="00255367" w:rsidRDefault="00F165D0" w:rsidP="00F165D0">
      <w:pPr>
        <w:tabs>
          <w:tab w:val="left" w:pos="6331"/>
        </w:tabs>
        <w:rPr>
          <w:rFonts w:cs="Times New Roman"/>
        </w:rPr>
      </w:pPr>
    </w:p>
    <w:p w14:paraId="43664DD8" w:rsidR="00297BAD" w:rsidRDefault="00297BAD" w:rsidP="00255367">
      <w:pPr>
        <w:spacing w:after="0" w:line="240" w:lineRule="auto"/>
        <w:rPr>
          <w:rFonts w:ascii="Times New Roman" w:eastAsia="Times New Roman" w:hAnsi="Times New Roman" w:cs="Times New Roman"/>
          <w:b/>
          <w:bCs/>
          <w:color w:val="000000"/>
        </w:rPr>
      </w:pPr>
    </w:p>
    <w:p w14:paraId="6A34C7AA" w:rsidR="00F165D0" w:rsidRDefault="00255367" w:rsidP="00255367">
      <w:pPr>
        <w:spacing w:after="0" w:line="240" w:lineRule="auto"/>
        <w:rPr>
          <w:rFonts w:ascii="Times New Roman" w:eastAsia="Times New Roman" w:hAnsi="Times New Roman" w:cs="Times New Roman"/>
          <w:b/>
          <w:bCs/>
          <w:color w:val="000000"/>
        </w:rPr>
      </w:pPr>
      <w:r w:rsidRPr="00255367">
        <w:rPr>
          <w:rFonts w:ascii="Times New Roman" w:hAnsi="Times New Roman" w:eastAsia="Times New Roman" w:cs="Times New Roman"/>
          <w:b/>
          <w:bCs/>
          <w:color w:val="000000"/>
        </w:rPr>
        <w:t>Budget By Category</w:t>
      </w:r>
    </w:p>
    <w:p w14:paraId="7669F24E" w:rsidR="00255367" w:rsidRPr="00255367" w:rsidRDefault="00255367" w:rsidP="00255367">
      <w:pPr>
        <w:spacing w:after="0" w:line="240" w:lineRule="auto"/>
        <w:rPr>
          <w:rFonts w:ascii="Times New Roman" w:eastAsia="Times New Roman" w:hAnsi="Times New Roman" w:cs="Times New Roman"/>
          <w:b/>
          <w:bCs/>
          <w:color w:val="000000"/>
        </w:rPr>
      </w:pPr>
    </w:p>
    <w:tbl>
      <w:tblPr>
        <w:tblW w:w="14311" w:type="dxa"/>
        <w:tblInd w:w="55" w:type="dxa"/>
        <w:tblLayout w:type="fixed"/>
        <w:tblCellMar>
          <w:left w:w="70" w:type="dxa"/>
          <w:right w:w="70" w:type="dxa"/>
        </w:tblCellMar>
        <w:tblLook w:val="04A0" w:firstRow="1" w:lastRow="0" w:firstColumn="1" w:lastColumn="0" w:noHBand="0" w:noVBand="1"/>
      </w:tblPr>
      <w:tblGrid>
        <w:gridCol w:w="3559"/>
        <w:gridCol w:w="1418"/>
        <w:gridCol w:w="1555"/>
        <w:gridCol w:w="1556"/>
        <w:gridCol w:w="1556"/>
        <w:gridCol w:w="1555"/>
        <w:gridCol w:w="1556"/>
        <w:gridCol w:w="1556"/>
      </w:tblGrid>
      <w:tr w14:paraId="4D356EE5" w:rsidR="00255367" w:rsidRPr="00297BAD" w:rsidTr="00255367">
        <w:trPr>
          <w:trHeight w:val="300"/>
        </w:trPr>
        <w:tc>
          <w:tcPr>
            <w:tcW w:w="3559"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A21FEE1" w:rsidR="00255367" w:rsidRPr="00297BAD" w:rsidRDefault="00255367" w:rsidP="00255367">
            <w:pPr>
              <w:spacing w:after="0" w:line="240" w:lineRule="auto"/>
              <w:jc w:val="center"/>
              <w:rPr>
                <w:rFonts w:ascii="Times New Roman" w:eastAsia="Times New Roman" w:hAnsi="Times New Roman" w:cs="Times New Roman"/>
                <w:b/>
                <w:bCs/>
                <w:color w:val="000000"/>
                <w:lang w:eastAsia="es-MX"/>
              </w:rPr>
            </w:pPr>
            <w:r w:rsidRPr="00297BAD">
              <w:rPr>
                <w:rFonts w:ascii="Times New Roman" w:hAnsi="Times New Roman" w:eastAsia="Times New Roman" w:cs="Times New Roman"/>
                <w:b/>
                <w:bCs/>
                <w:color w:val="000000"/>
                <w:lang w:eastAsia="es-MX"/>
              </w:rPr>
              <w:t>ERP/ATLAS Budget Description/ Input</w:t>
            </w:r>
          </w:p>
        </w:tc>
        <w:tc>
          <w:tcPr>
            <w:tcW w:w="1418" w:type="dxa"/>
            <w:tcBorders>
              <w:top w:val="single" w:sz="4" w:space="0" w:color="auto"/>
              <w:left w:val="nil"/>
              <w:bottom w:val="single" w:sz="4" w:space="0" w:color="auto"/>
              <w:right w:val="single" w:sz="4" w:space="0" w:color="auto"/>
            </w:tcBorders>
            <w:shd w:val="clear" w:color="000000" w:fill="92CDDC"/>
            <w:noWrap/>
            <w:vAlign w:val="center"/>
            <w:hideMark/>
          </w:tcPr>
          <w:p w14:paraId="272E5BE6"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Atlas Code</w:t>
            </w:r>
          </w:p>
        </w:tc>
        <w:tc>
          <w:tcPr>
            <w:tcW w:w="1555" w:type="dxa"/>
            <w:tcBorders>
              <w:top w:val="single" w:sz="4" w:space="0" w:color="auto"/>
              <w:left w:val="nil"/>
              <w:bottom w:val="single" w:sz="4" w:space="0" w:color="auto"/>
              <w:right w:val="single" w:sz="4" w:space="0" w:color="auto"/>
            </w:tcBorders>
            <w:shd w:val="clear" w:color="000000" w:fill="92CDDC"/>
            <w:noWrap/>
            <w:vAlign w:val="center"/>
            <w:hideMark/>
          </w:tcPr>
          <w:p w14:paraId="7C5E666E"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Y1</w:t>
            </w:r>
          </w:p>
        </w:tc>
        <w:tc>
          <w:tcPr>
            <w:tcW w:w="1556" w:type="dxa"/>
            <w:tcBorders>
              <w:top w:val="single" w:sz="4" w:space="0" w:color="auto"/>
              <w:left w:val="nil"/>
              <w:bottom w:val="single" w:sz="4" w:space="0" w:color="auto"/>
              <w:right w:val="single" w:sz="4" w:space="0" w:color="auto"/>
            </w:tcBorders>
            <w:shd w:val="clear" w:color="000000" w:fill="92CDDC"/>
            <w:noWrap/>
            <w:vAlign w:val="center"/>
            <w:hideMark/>
          </w:tcPr>
          <w:p w14:paraId="2BB4C75F"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Y2</w:t>
            </w:r>
          </w:p>
        </w:tc>
        <w:tc>
          <w:tcPr>
            <w:tcW w:w="1556" w:type="dxa"/>
            <w:tcBorders>
              <w:top w:val="single" w:sz="4" w:space="0" w:color="auto"/>
              <w:left w:val="nil"/>
              <w:bottom w:val="single" w:sz="4" w:space="0" w:color="auto"/>
              <w:right w:val="single" w:sz="4" w:space="0" w:color="auto"/>
            </w:tcBorders>
            <w:shd w:val="clear" w:color="000000" w:fill="92CDDC"/>
            <w:noWrap/>
            <w:vAlign w:val="center"/>
            <w:hideMark/>
          </w:tcPr>
          <w:p w14:paraId="25257ACA"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Y3</w:t>
            </w:r>
          </w:p>
        </w:tc>
        <w:tc>
          <w:tcPr>
            <w:tcW w:w="1555" w:type="dxa"/>
            <w:tcBorders>
              <w:top w:val="single" w:sz="4" w:space="0" w:color="auto"/>
              <w:left w:val="nil"/>
              <w:bottom w:val="single" w:sz="4" w:space="0" w:color="auto"/>
              <w:right w:val="single" w:sz="4" w:space="0" w:color="auto"/>
            </w:tcBorders>
            <w:shd w:val="clear" w:color="000000" w:fill="92CDDC"/>
            <w:noWrap/>
            <w:vAlign w:val="center"/>
            <w:hideMark/>
          </w:tcPr>
          <w:p w14:paraId="47F5B38B"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Y4</w:t>
            </w:r>
          </w:p>
        </w:tc>
        <w:tc>
          <w:tcPr>
            <w:tcW w:w="1556" w:type="dxa"/>
            <w:tcBorders>
              <w:top w:val="single" w:sz="4" w:space="0" w:color="auto"/>
              <w:left w:val="nil"/>
              <w:bottom w:val="single" w:sz="4" w:space="0" w:color="auto"/>
              <w:right w:val="single" w:sz="4" w:space="0" w:color="auto"/>
            </w:tcBorders>
            <w:shd w:val="clear" w:color="000000" w:fill="92CDDC"/>
            <w:noWrap/>
            <w:vAlign w:val="center"/>
            <w:hideMark/>
          </w:tcPr>
          <w:p w14:paraId="1622B1D4"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Y5</w:t>
            </w:r>
          </w:p>
        </w:tc>
        <w:tc>
          <w:tcPr>
            <w:tcW w:w="1556" w:type="dxa"/>
            <w:tcBorders>
              <w:top w:val="single" w:sz="4" w:space="0" w:color="auto"/>
              <w:left w:val="nil"/>
              <w:bottom w:val="single" w:sz="4" w:space="0" w:color="auto"/>
              <w:right w:val="single" w:sz="4" w:space="0" w:color="auto"/>
            </w:tcBorders>
            <w:shd w:val="clear" w:color="000000" w:fill="92CDDC"/>
            <w:noWrap/>
            <w:vAlign w:val="center"/>
            <w:hideMark/>
          </w:tcPr>
          <w:p w14:paraId="77E1AAC1" w:rsidR="00255367" w:rsidRPr="00297BAD" w:rsidRDefault="00255367" w:rsidP="00255367">
            <w:pPr>
              <w:spacing w:after="0" w:line="240" w:lineRule="auto"/>
              <w:jc w:val="center"/>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w:t>
            </w:r>
          </w:p>
        </w:tc>
      </w:tr>
      <w:tr w14:paraId="03263E74"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B4F9093"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International consultants</w:t>
            </w:r>
          </w:p>
        </w:tc>
        <w:tc>
          <w:tcPr>
            <w:tcW w:w="1418" w:type="dxa"/>
            <w:tcBorders>
              <w:top w:val="nil"/>
              <w:left w:val="nil"/>
              <w:bottom w:val="single" w:sz="4" w:space="0" w:color="auto"/>
              <w:right w:val="single" w:sz="4" w:space="0" w:color="auto"/>
            </w:tcBorders>
            <w:shd w:val="clear" w:color="auto" w:fill="auto"/>
            <w:noWrap/>
            <w:vAlign w:val="bottom"/>
            <w:hideMark/>
          </w:tcPr>
          <w:p w14:paraId="0A69187C"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71200</w:t>
            </w:r>
          </w:p>
        </w:tc>
        <w:tc>
          <w:tcPr>
            <w:tcW w:w="1555" w:type="dxa"/>
            <w:tcBorders>
              <w:top w:val="nil"/>
              <w:left w:val="nil"/>
              <w:bottom w:val="single" w:sz="4" w:space="0" w:color="auto"/>
              <w:right w:val="single" w:sz="4" w:space="0" w:color="auto"/>
            </w:tcBorders>
            <w:shd w:val="clear" w:color="auto" w:fill="auto"/>
            <w:noWrap/>
            <w:vAlign w:val="bottom"/>
            <w:hideMark/>
          </w:tcPr>
          <w:p w14:paraId="08F7FD9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56B53D2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0B648E71"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50,500 </w:t>
            </w:r>
          </w:p>
        </w:tc>
        <w:tc>
          <w:tcPr>
            <w:tcW w:w="1555" w:type="dxa"/>
            <w:tcBorders>
              <w:top w:val="nil"/>
              <w:left w:val="nil"/>
              <w:bottom w:val="single" w:sz="4" w:space="0" w:color="auto"/>
              <w:right w:val="single" w:sz="4" w:space="0" w:color="auto"/>
            </w:tcBorders>
            <w:shd w:val="clear" w:color="auto" w:fill="auto"/>
            <w:noWrap/>
            <w:vAlign w:val="bottom"/>
            <w:hideMark/>
          </w:tcPr>
          <w:p w14:paraId="6EC0EBB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46DBCEB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32,000 </w:t>
            </w:r>
          </w:p>
        </w:tc>
        <w:tc>
          <w:tcPr>
            <w:tcW w:w="1556" w:type="dxa"/>
            <w:tcBorders>
              <w:top w:val="nil"/>
              <w:left w:val="nil"/>
              <w:bottom w:val="single" w:sz="4" w:space="0" w:color="auto"/>
              <w:right w:val="single" w:sz="4" w:space="0" w:color="auto"/>
            </w:tcBorders>
            <w:shd w:val="clear" w:color="auto" w:fill="auto"/>
            <w:noWrap/>
            <w:vAlign w:val="bottom"/>
            <w:hideMark/>
          </w:tcPr>
          <w:p w14:paraId="3DFD4B1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82,500 </w:t>
            </w:r>
          </w:p>
        </w:tc>
      </w:tr>
      <w:tr w14:paraId="3B69D39B"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033C353"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Local Consultants</w:t>
            </w:r>
          </w:p>
        </w:tc>
        <w:tc>
          <w:tcPr>
            <w:tcW w:w="1418" w:type="dxa"/>
            <w:tcBorders>
              <w:top w:val="nil"/>
              <w:left w:val="nil"/>
              <w:bottom w:val="single" w:sz="4" w:space="0" w:color="auto"/>
              <w:right w:val="single" w:sz="4" w:space="0" w:color="auto"/>
            </w:tcBorders>
            <w:shd w:val="clear" w:color="auto" w:fill="auto"/>
            <w:noWrap/>
            <w:vAlign w:val="bottom"/>
            <w:hideMark/>
          </w:tcPr>
          <w:p w14:paraId="0149C97C"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71300</w:t>
            </w:r>
          </w:p>
        </w:tc>
        <w:tc>
          <w:tcPr>
            <w:tcW w:w="1555" w:type="dxa"/>
            <w:tcBorders>
              <w:top w:val="nil"/>
              <w:left w:val="nil"/>
              <w:bottom w:val="single" w:sz="4" w:space="0" w:color="auto"/>
              <w:right w:val="single" w:sz="4" w:space="0" w:color="auto"/>
            </w:tcBorders>
            <w:shd w:val="clear" w:color="auto" w:fill="auto"/>
            <w:noWrap/>
            <w:vAlign w:val="bottom"/>
            <w:hideMark/>
          </w:tcPr>
          <w:p w14:paraId="311DDD9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34,976 </w:t>
            </w:r>
          </w:p>
        </w:tc>
        <w:tc>
          <w:tcPr>
            <w:tcW w:w="1556" w:type="dxa"/>
            <w:tcBorders>
              <w:top w:val="nil"/>
              <w:left w:val="nil"/>
              <w:bottom w:val="single" w:sz="4" w:space="0" w:color="auto"/>
              <w:right w:val="single" w:sz="4" w:space="0" w:color="auto"/>
            </w:tcBorders>
            <w:shd w:val="clear" w:color="auto" w:fill="auto"/>
            <w:noWrap/>
            <w:vAlign w:val="bottom"/>
            <w:hideMark/>
          </w:tcPr>
          <w:p w14:paraId="1A7E307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109,862 </w:t>
            </w:r>
          </w:p>
        </w:tc>
        <w:tc>
          <w:tcPr>
            <w:tcW w:w="1556" w:type="dxa"/>
            <w:tcBorders>
              <w:top w:val="nil"/>
              <w:left w:val="nil"/>
              <w:bottom w:val="single" w:sz="4" w:space="0" w:color="auto"/>
              <w:right w:val="single" w:sz="4" w:space="0" w:color="auto"/>
            </w:tcBorders>
            <w:shd w:val="clear" w:color="auto" w:fill="auto"/>
            <w:noWrap/>
            <w:vAlign w:val="bottom"/>
            <w:hideMark/>
          </w:tcPr>
          <w:p w14:paraId="64611E9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127,574 </w:t>
            </w:r>
          </w:p>
        </w:tc>
        <w:tc>
          <w:tcPr>
            <w:tcW w:w="1555" w:type="dxa"/>
            <w:tcBorders>
              <w:top w:val="nil"/>
              <w:left w:val="nil"/>
              <w:bottom w:val="single" w:sz="4" w:space="0" w:color="auto"/>
              <w:right w:val="single" w:sz="4" w:space="0" w:color="auto"/>
            </w:tcBorders>
            <w:shd w:val="clear" w:color="auto" w:fill="auto"/>
            <w:noWrap/>
            <w:vAlign w:val="bottom"/>
            <w:hideMark/>
          </w:tcPr>
          <w:p w14:paraId="57FF7EB1"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115,556 </w:t>
            </w:r>
          </w:p>
        </w:tc>
        <w:tc>
          <w:tcPr>
            <w:tcW w:w="1556" w:type="dxa"/>
            <w:tcBorders>
              <w:top w:val="nil"/>
              <w:left w:val="nil"/>
              <w:bottom w:val="single" w:sz="4" w:space="0" w:color="auto"/>
              <w:right w:val="single" w:sz="4" w:space="0" w:color="auto"/>
            </w:tcBorders>
            <w:shd w:val="clear" w:color="auto" w:fill="auto"/>
            <w:noWrap/>
            <w:vAlign w:val="bottom"/>
            <w:hideMark/>
          </w:tcPr>
          <w:p w14:paraId="731947EA"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204,941 </w:t>
            </w:r>
          </w:p>
        </w:tc>
        <w:tc>
          <w:tcPr>
            <w:tcW w:w="1556" w:type="dxa"/>
            <w:tcBorders>
              <w:top w:val="nil"/>
              <w:left w:val="nil"/>
              <w:bottom w:val="single" w:sz="4" w:space="0" w:color="auto"/>
              <w:right w:val="single" w:sz="4" w:space="0" w:color="auto"/>
            </w:tcBorders>
            <w:shd w:val="clear" w:color="auto" w:fill="auto"/>
            <w:noWrap/>
            <w:vAlign w:val="bottom"/>
            <w:hideMark/>
          </w:tcPr>
          <w:p w14:paraId="065E3FE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592,909 </w:t>
            </w:r>
          </w:p>
        </w:tc>
      </w:tr>
      <w:tr w14:paraId="3748D207"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F75E5CA"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Individual</w:t>
            </w:r>
          </w:p>
        </w:tc>
        <w:tc>
          <w:tcPr>
            <w:tcW w:w="1418" w:type="dxa"/>
            <w:tcBorders>
              <w:top w:val="nil"/>
              <w:left w:val="nil"/>
              <w:bottom w:val="single" w:sz="4" w:space="0" w:color="auto"/>
              <w:right w:val="single" w:sz="4" w:space="0" w:color="auto"/>
            </w:tcBorders>
            <w:shd w:val="clear" w:color="auto" w:fill="auto"/>
            <w:noWrap/>
            <w:vAlign w:val="bottom"/>
            <w:hideMark/>
          </w:tcPr>
          <w:p w14:paraId="004FFCD3"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71400</w:t>
            </w:r>
          </w:p>
        </w:tc>
        <w:tc>
          <w:tcPr>
            <w:tcW w:w="1555" w:type="dxa"/>
            <w:tcBorders>
              <w:top w:val="nil"/>
              <w:left w:val="nil"/>
              <w:bottom w:val="single" w:sz="4" w:space="0" w:color="auto"/>
              <w:right w:val="single" w:sz="4" w:space="0" w:color="auto"/>
            </w:tcBorders>
            <w:shd w:val="clear" w:color="auto" w:fill="auto"/>
            <w:noWrap/>
            <w:vAlign w:val="bottom"/>
            <w:hideMark/>
          </w:tcPr>
          <w:p w14:paraId="0A499FC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52,801 </w:t>
            </w:r>
          </w:p>
        </w:tc>
        <w:tc>
          <w:tcPr>
            <w:tcW w:w="1556" w:type="dxa"/>
            <w:tcBorders>
              <w:top w:val="nil"/>
              <w:left w:val="nil"/>
              <w:bottom w:val="single" w:sz="4" w:space="0" w:color="auto"/>
              <w:right w:val="single" w:sz="4" w:space="0" w:color="auto"/>
            </w:tcBorders>
            <w:shd w:val="clear" w:color="auto" w:fill="auto"/>
            <w:noWrap/>
            <w:vAlign w:val="bottom"/>
            <w:hideMark/>
          </w:tcPr>
          <w:p w14:paraId="19AFBA9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52,800 </w:t>
            </w:r>
          </w:p>
        </w:tc>
        <w:tc>
          <w:tcPr>
            <w:tcW w:w="1556" w:type="dxa"/>
            <w:tcBorders>
              <w:top w:val="nil"/>
              <w:left w:val="nil"/>
              <w:bottom w:val="single" w:sz="4" w:space="0" w:color="auto"/>
              <w:right w:val="single" w:sz="4" w:space="0" w:color="auto"/>
            </w:tcBorders>
            <w:shd w:val="clear" w:color="auto" w:fill="auto"/>
            <w:noWrap/>
            <w:vAlign w:val="bottom"/>
            <w:hideMark/>
          </w:tcPr>
          <w:p w14:paraId="46C08D15"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52,800 </w:t>
            </w:r>
          </w:p>
        </w:tc>
        <w:tc>
          <w:tcPr>
            <w:tcW w:w="1555" w:type="dxa"/>
            <w:tcBorders>
              <w:top w:val="nil"/>
              <w:left w:val="nil"/>
              <w:bottom w:val="single" w:sz="4" w:space="0" w:color="auto"/>
              <w:right w:val="single" w:sz="4" w:space="0" w:color="auto"/>
            </w:tcBorders>
            <w:shd w:val="clear" w:color="auto" w:fill="auto"/>
            <w:noWrap/>
            <w:vAlign w:val="bottom"/>
            <w:hideMark/>
          </w:tcPr>
          <w:p w14:paraId="2B6A71F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52,800 </w:t>
            </w:r>
          </w:p>
        </w:tc>
        <w:tc>
          <w:tcPr>
            <w:tcW w:w="1556" w:type="dxa"/>
            <w:tcBorders>
              <w:top w:val="nil"/>
              <w:left w:val="nil"/>
              <w:bottom w:val="single" w:sz="4" w:space="0" w:color="auto"/>
              <w:right w:val="single" w:sz="4" w:space="0" w:color="auto"/>
            </w:tcBorders>
            <w:shd w:val="clear" w:color="auto" w:fill="auto"/>
            <w:noWrap/>
            <w:vAlign w:val="bottom"/>
            <w:hideMark/>
          </w:tcPr>
          <w:p w14:paraId="4AB622B2"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52,800 </w:t>
            </w:r>
          </w:p>
        </w:tc>
        <w:tc>
          <w:tcPr>
            <w:tcW w:w="1556" w:type="dxa"/>
            <w:tcBorders>
              <w:top w:val="nil"/>
              <w:left w:val="nil"/>
              <w:bottom w:val="single" w:sz="4" w:space="0" w:color="auto"/>
              <w:right w:val="single" w:sz="4" w:space="0" w:color="auto"/>
            </w:tcBorders>
            <w:shd w:val="clear" w:color="auto" w:fill="auto"/>
            <w:noWrap/>
            <w:vAlign w:val="bottom"/>
            <w:hideMark/>
          </w:tcPr>
          <w:p w14:paraId="4FD2C56C"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264,001 </w:t>
            </w:r>
          </w:p>
        </w:tc>
      </w:tr>
      <w:tr w14:paraId="75A76489"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6DB00605"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Travel</w:t>
            </w:r>
          </w:p>
        </w:tc>
        <w:tc>
          <w:tcPr>
            <w:tcW w:w="1418" w:type="dxa"/>
            <w:tcBorders>
              <w:top w:val="nil"/>
              <w:left w:val="nil"/>
              <w:bottom w:val="single" w:sz="4" w:space="0" w:color="auto"/>
              <w:right w:val="single" w:sz="4" w:space="0" w:color="auto"/>
            </w:tcBorders>
            <w:shd w:val="clear" w:color="auto" w:fill="auto"/>
            <w:noWrap/>
            <w:vAlign w:val="bottom"/>
            <w:hideMark/>
          </w:tcPr>
          <w:p w14:paraId="1EFFC514"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71600</w:t>
            </w:r>
          </w:p>
        </w:tc>
        <w:tc>
          <w:tcPr>
            <w:tcW w:w="1555" w:type="dxa"/>
            <w:tcBorders>
              <w:top w:val="nil"/>
              <w:left w:val="nil"/>
              <w:bottom w:val="single" w:sz="4" w:space="0" w:color="auto"/>
              <w:right w:val="single" w:sz="4" w:space="0" w:color="auto"/>
            </w:tcBorders>
            <w:shd w:val="clear" w:color="auto" w:fill="auto"/>
            <w:noWrap/>
            <w:vAlign w:val="bottom"/>
            <w:hideMark/>
          </w:tcPr>
          <w:p w14:paraId="77755F4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5,405 </w:t>
            </w:r>
          </w:p>
        </w:tc>
        <w:tc>
          <w:tcPr>
            <w:tcW w:w="1556" w:type="dxa"/>
            <w:tcBorders>
              <w:top w:val="nil"/>
              <w:left w:val="nil"/>
              <w:bottom w:val="single" w:sz="4" w:space="0" w:color="auto"/>
              <w:right w:val="single" w:sz="4" w:space="0" w:color="auto"/>
            </w:tcBorders>
            <w:shd w:val="clear" w:color="auto" w:fill="auto"/>
            <w:noWrap/>
            <w:vAlign w:val="bottom"/>
            <w:hideMark/>
          </w:tcPr>
          <w:p w14:paraId="0B29BCCA"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11,550 </w:t>
            </w:r>
          </w:p>
        </w:tc>
        <w:tc>
          <w:tcPr>
            <w:tcW w:w="1556" w:type="dxa"/>
            <w:tcBorders>
              <w:top w:val="nil"/>
              <w:left w:val="nil"/>
              <w:bottom w:val="single" w:sz="4" w:space="0" w:color="auto"/>
              <w:right w:val="single" w:sz="4" w:space="0" w:color="auto"/>
            </w:tcBorders>
            <w:shd w:val="clear" w:color="auto" w:fill="auto"/>
            <w:noWrap/>
            <w:vAlign w:val="bottom"/>
            <w:hideMark/>
          </w:tcPr>
          <w:p w14:paraId="0D5D8618"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8,888 </w:t>
            </w:r>
          </w:p>
        </w:tc>
        <w:tc>
          <w:tcPr>
            <w:tcW w:w="1555" w:type="dxa"/>
            <w:tcBorders>
              <w:top w:val="nil"/>
              <w:left w:val="nil"/>
              <w:bottom w:val="single" w:sz="4" w:space="0" w:color="auto"/>
              <w:right w:val="single" w:sz="4" w:space="0" w:color="auto"/>
            </w:tcBorders>
            <w:shd w:val="clear" w:color="auto" w:fill="auto"/>
            <w:noWrap/>
            <w:vAlign w:val="bottom"/>
            <w:hideMark/>
          </w:tcPr>
          <w:p w14:paraId="5C5FA1E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18,100 </w:t>
            </w:r>
          </w:p>
        </w:tc>
        <w:tc>
          <w:tcPr>
            <w:tcW w:w="1556" w:type="dxa"/>
            <w:tcBorders>
              <w:top w:val="nil"/>
              <w:left w:val="nil"/>
              <w:bottom w:val="single" w:sz="4" w:space="0" w:color="auto"/>
              <w:right w:val="single" w:sz="4" w:space="0" w:color="auto"/>
            </w:tcBorders>
            <w:shd w:val="clear" w:color="auto" w:fill="auto"/>
            <w:noWrap/>
            <w:vAlign w:val="bottom"/>
            <w:hideMark/>
          </w:tcPr>
          <w:p w14:paraId="4ABAA7F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13,968 </w:t>
            </w:r>
          </w:p>
        </w:tc>
        <w:tc>
          <w:tcPr>
            <w:tcW w:w="1556" w:type="dxa"/>
            <w:tcBorders>
              <w:top w:val="nil"/>
              <w:left w:val="nil"/>
              <w:bottom w:val="single" w:sz="4" w:space="0" w:color="auto"/>
              <w:right w:val="single" w:sz="4" w:space="0" w:color="auto"/>
            </w:tcBorders>
            <w:shd w:val="clear" w:color="auto" w:fill="auto"/>
            <w:noWrap/>
            <w:vAlign w:val="bottom"/>
            <w:hideMark/>
          </w:tcPr>
          <w:p w14:paraId="17957282"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57,911 </w:t>
            </w:r>
          </w:p>
        </w:tc>
      </w:tr>
      <w:tr w14:paraId="2055D99E"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6A56943"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Contractual Services - Companies</w:t>
            </w:r>
          </w:p>
        </w:tc>
        <w:tc>
          <w:tcPr>
            <w:tcW w:w="1418" w:type="dxa"/>
            <w:tcBorders>
              <w:top w:val="nil"/>
              <w:left w:val="nil"/>
              <w:bottom w:val="single" w:sz="4" w:space="0" w:color="auto"/>
              <w:right w:val="single" w:sz="4" w:space="0" w:color="auto"/>
            </w:tcBorders>
            <w:shd w:val="clear" w:color="auto" w:fill="auto"/>
            <w:noWrap/>
            <w:vAlign w:val="bottom"/>
            <w:hideMark/>
          </w:tcPr>
          <w:p w14:paraId="7FC23446"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72100</w:t>
            </w:r>
          </w:p>
        </w:tc>
        <w:tc>
          <w:tcPr>
            <w:tcW w:w="1555" w:type="dxa"/>
            <w:tcBorders>
              <w:top w:val="nil"/>
              <w:left w:val="nil"/>
              <w:bottom w:val="single" w:sz="4" w:space="0" w:color="auto"/>
              <w:right w:val="single" w:sz="4" w:space="0" w:color="auto"/>
            </w:tcBorders>
            <w:shd w:val="clear" w:color="auto" w:fill="auto"/>
            <w:noWrap/>
            <w:vAlign w:val="bottom"/>
            <w:hideMark/>
          </w:tcPr>
          <w:p w14:paraId="672C3DA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19,805 </w:t>
            </w:r>
          </w:p>
        </w:tc>
        <w:tc>
          <w:tcPr>
            <w:tcW w:w="1556" w:type="dxa"/>
            <w:tcBorders>
              <w:top w:val="nil"/>
              <w:left w:val="nil"/>
              <w:bottom w:val="single" w:sz="4" w:space="0" w:color="auto"/>
              <w:right w:val="single" w:sz="4" w:space="0" w:color="auto"/>
            </w:tcBorders>
            <w:shd w:val="clear" w:color="auto" w:fill="auto"/>
            <w:noWrap/>
            <w:vAlign w:val="bottom"/>
            <w:hideMark/>
          </w:tcPr>
          <w:p w14:paraId="1057686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66,341 </w:t>
            </w:r>
          </w:p>
        </w:tc>
        <w:tc>
          <w:tcPr>
            <w:tcW w:w="1556" w:type="dxa"/>
            <w:tcBorders>
              <w:top w:val="nil"/>
              <w:left w:val="nil"/>
              <w:bottom w:val="single" w:sz="4" w:space="0" w:color="auto"/>
              <w:right w:val="single" w:sz="4" w:space="0" w:color="auto"/>
            </w:tcBorders>
            <w:shd w:val="clear" w:color="auto" w:fill="auto"/>
            <w:noWrap/>
            <w:vAlign w:val="bottom"/>
            <w:hideMark/>
          </w:tcPr>
          <w:p w14:paraId="66D85DC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77,485 </w:t>
            </w:r>
          </w:p>
        </w:tc>
        <w:tc>
          <w:tcPr>
            <w:tcW w:w="1555" w:type="dxa"/>
            <w:tcBorders>
              <w:top w:val="nil"/>
              <w:left w:val="nil"/>
              <w:bottom w:val="single" w:sz="4" w:space="0" w:color="auto"/>
              <w:right w:val="single" w:sz="4" w:space="0" w:color="auto"/>
            </w:tcBorders>
            <w:shd w:val="clear" w:color="auto" w:fill="auto"/>
            <w:noWrap/>
            <w:vAlign w:val="bottom"/>
            <w:hideMark/>
          </w:tcPr>
          <w:p w14:paraId="026BAC8C"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95,869 </w:t>
            </w:r>
          </w:p>
        </w:tc>
        <w:tc>
          <w:tcPr>
            <w:tcW w:w="1556" w:type="dxa"/>
            <w:tcBorders>
              <w:top w:val="nil"/>
              <w:left w:val="nil"/>
              <w:bottom w:val="single" w:sz="4" w:space="0" w:color="auto"/>
              <w:right w:val="single" w:sz="4" w:space="0" w:color="auto"/>
            </w:tcBorders>
            <w:shd w:val="clear" w:color="auto" w:fill="auto"/>
            <w:noWrap/>
            <w:vAlign w:val="bottom"/>
            <w:hideMark/>
          </w:tcPr>
          <w:p w14:paraId="07FC7A3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7A010456"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259,500 </w:t>
            </w:r>
          </w:p>
        </w:tc>
      </w:tr>
      <w:tr w14:paraId="752028D2"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C17914A"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Equipment and Furniture</w:t>
            </w:r>
          </w:p>
        </w:tc>
        <w:tc>
          <w:tcPr>
            <w:tcW w:w="1418" w:type="dxa"/>
            <w:tcBorders>
              <w:top w:val="nil"/>
              <w:left w:val="nil"/>
              <w:bottom w:val="single" w:sz="4" w:space="0" w:color="auto"/>
              <w:right w:val="single" w:sz="4" w:space="0" w:color="auto"/>
            </w:tcBorders>
            <w:shd w:val="clear" w:color="auto" w:fill="auto"/>
            <w:noWrap/>
            <w:vAlign w:val="bottom"/>
            <w:hideMark/>
          </w:tcPr>
          <w:p w14:paraId="6FA3CE63"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72200</w:t>
            </w:r>
          </w:p>
        </w:tc>
        <w:tc>
          <w:tcPr>
            <w:tcW w:w="1555" w:type="dxa"/>
            <w:tcBorders>
              <w:top w:val="nil"/>
              <w:left w:val="nil"/>
              <w:bottom w:val="single" w:sz="4" w:space="0" w:color="auto"/>
              <w:right w:val="single" w:sz="4" w:space="0" w:color="auto"/>
            </w:tcBorders>
            <w:shd w:val="clear" w:color="auto" w:fill="auto"/>
            <w:noWrap/>
            <w:vAlign w:val="bottom"/>
            <w:hideMark/>
          </w:tcPr>
          <w:p w14:paraId="42CD3D4A"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327,368 </w:t>
            </w:r>
          </w:p>
        </w:tc>
        <w:tc>
          <w:tcPr>
            <w:tcW w:w="1556" w:type="dxa"/>
            <w:tcBorders>
              <w:top w:val="nil"/>
              <w:left w:val="nil"/>
              <w:bottom w:val="single" w:sz="4" w:space="0" w:color="auto"/>
              <w:right w:val="single" w:sz="4" w:space="0" w:color="auto"/>
            </w:tcBorders>
            <w:shd w:val="clear" w:color="auto" w:fill="auto"/>
            <w:noWrap/>
            <w:vAlign w:val="bottom"/>
            <w:hideMark/>
          </w:tcPr>
          <w:p w14:paraId="245EE7B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262,260 </w:t>
            </w:r>
          </w:p>
        </w:tc>
        <w:tc>
          <w:tcPr>
            <w:tcW w:w="1556" w:type="dxa"/>
            <w:tcBorders>
              <w:top w:val="nil"/>
              <w:left w:val="nil"/>
              <w:bottom w:val="single" w:sz="4" w:space="0" w:color="auto"/>
              <w:right w:val="single" w:sz="4" w:space="0" w:color="auto"/>
            </w:tcBorders>
            <w:shd w:val="clear" w:color="auto" w:fill="auto"/>
            <w:noWrap/>
            <w:vAlign w:val="bottom"/>
            <w:hideMark/>
          </w:tcPr>
          <w:p w14:paraId="389B7F7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92,038 </w:t>
            </w:r>
          </w:p>
        </w:tc>
        <w:tc>
          <w:tcPr>
            <w:tcW w:w="1555" w:type="dxa"/>
            <w:tcBorders>
              <w:top w:val="nil"/>
              <w:left w:val="nil"/>
              <w:bottom w:val="single" w:sz="4" w:space="0" w:color="auto"/>
              <w:right w:val="single" w:sz="4" w:space="0" w:color="auto"/>
            </w:tcBorders>
            <w:shd w:val="clear" w:color="auto" w:fill="auto"/>
            <w:noWrap/>
            <w:vAlign w:val="bottom"/>
            <w:hideMark/>
          </w:tcPr>
          <w:p w14:paraId="1EC73AE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40,210 </w:t>
            </w:r>
          </w:p>
        </w:tc>
        <w:tc>
          <w:tcPr>
            <w:tcW w:w="1556" w:type="dxa"/>
            <w:tcBorders>
              <w:top w:val="nil"/>
              <w:left w:val="nil"/>
              <w:bottom w:val="single" w:sz="4" w:space="0" w:color="auto"/>
              <w:right w:val="single" w:sz="4" w:space="0" w:color="auto"/>
            </w:tcBorders>
            <w:shd w:val="clear" w:color="auto" w:fill="auto"/>
            <w:noWrap/>
            <w:vAlign w:val="bottom"/>
            <w:hideMark/>
          </w:tcPr>
          <w:p w14:paraId="10ACE18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46ACCC0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721,876 </w:t>
            </w:r>
          </w:p>
        </w:tc>
      </w:tr>
      <w:tr w14:paraId="7791ADEE"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78DC9EA5"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Materials and Goods</w:t>
            </w:r>
          </w:p>
        </w:tc>
        <w:tc>
          <w:tcPr>
            <w:tcW w:w="1418" w:type="dxa"/>
            <w:tcBorders>
              <w:top w:val="nil"/>
              <w:left w:val="nil"/>
              <w:bottom w:val="single" w:sz="4" w:space="0" w:color="auto"/>
              <w:right w:val="single" w:sz="4" w:space="0" w:color="auto"/>
            </w:tcBorders>
            <w:shd w:val="clear" w:color="auto" w:fill="auto"/>
            <w:noWrap/>
            <w:vAlign w:val="bottom"/>
            <w:hideMark/>
          </w:tcPr>
          <w:p w14:paraId="419FD5F5"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72300</w:t>
            </w:r>
          </w:p>
        </w:tc>
        <w:tc>
          <w:tcPr>
            <w:tcW w:w="1555" w:type="dxa"/>
            <w:tcBorders>
              <w:top w:val="nil"/>
              <w:left w:val="nil"/>
              <w:bottom w:val="single" w:sz="4" w:space="0" w:color="auto"/>
              <w:right w:val="single" w:sz="4" w:space="0" w:color="auto"/>
            </w:tcBorders>
            <w:shd w:val="clear" w:color="auto" w:fill="auto"/>
            <w:noWrap/>
            <w:vAlign w:val="bottom"/>
            <w:hideMark/>
          </w:tcPr>
          <w:p w14:paraId="43A88B66"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5D8D8B9F"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19,051 </w:t>
            </w:r>
          </w:p>
        </w:tc>
        <w:tc>
          <w:tcPr>
            <w:tcW w:w="1556" w:type="dxa"/>
            <w:tcBorders>
              <w:top w:val="nil"/>
              <w:left w:val="nil"/>
              <w:bottom w:val="single" w:sz="4" w:space="0" w:color="auto"/>
              <w:right w:val="single" w:sz="4" w:space="0" w:color="auto"/>
            </w:tcBorders>
            <w:shd w:val="clear" w:color="auto" w:fill="auto"/>
            <w:noWrap/>
            <w:vAlign w:val="bottom"/>
            <w:hideMark/>
          </w:tcPr>
          <w:p w14:paraId="0BFF1A7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29,645 </w:t>
            </w:r>
          </w:p>
        </w:tc>
        <w:tc>
          <w:tcPr>
            <w:tcW w:w="1555" w:type="dxa"/>
            <w:tcBorders>
              <w:top w:val="nil"/>
              <w:left w:val="nil"/>
              <w:bottom w:val="single" w:sz="4" w:space="0" w:color="auto"/>
              <w:right w:val="single" w:sz="4" w:space="0" w:color="auto"/>
            </w:tcBorders>
            <w:shd w:val="clear" w:color="auto" w:fill="auto"/>
            <w:noWrap/>
            <w:vAlign w:val="bottom"/>
            <w:hideMark/>
          </w:tcPr>
          <w:p w14:paraId="3B91C90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32,077 </w:t>
            </w:r>
          </w:p>
        </w:tc>
        <w:tc>
          <w:tcPr>
            <w:tcW w:w="1556" w:type="dxa"/>
            <w:tcBorders>
              <w:top w:val="nil"/>
              <w:left w:val="nil"/>
              <w:bottom w:val="single" w:sz="4" w:space="0" w:color="auto"/>
              <w:right w:val="single" w:sz="4" w:space="0" w:color="auto"/>
            </w:tcBorders>
            <w:shd w:val="clear" w:color="auto" w:fill="auto"/>
            <w:noWrap/>
            <w:vAlign w:val="bottom"/>
            <w:hideMark/>
          </w:tcPr>
          <w:p w14:paraId="7919872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50,877 </w:t>
            </w:r>
          </w:p>
        </w:tc>
        <w:tc>
          <w:tcPr>
            <w:tcW w:w="1556" w:type="dxa"/>
            <w:tcBorders>
              <w:top w:val="nil"/>
              <w:left w:val="nil"/>
              <w:bottom w:val="single" w:sz="4" w:space="0" w:color="auto"/>
              <w:right w:val="single" w:sz="4" w:space="0" w:color="auto"/>
            </w:tcBorders>
            <w:shd w:val="clear" w:color="auto" w:fill="auto"/>
            <w:noWrap/>
            <w:vAlign w:val="bottom"/>
            <w:hideMark/>
          </w:tcPr>
          <w:p w14:paraId="592BC8B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131,650 </w:t>
            </w:r>
          </w:p>
        </w:tc>
      </w:tr>
      <w:tr w14:paraId="1EFD8600"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43F4744C"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Supplies</w:t>
            </w:r>
          </w:p>
        </w:tc>
        <w:tc>
          <w:tcPr>
            <w:tcW w:w="1418" w:type="dxa"/>
            <w:tcBorders>
              <w:top w:val="nil"/>
              <w:left w:val="nil"/>
              <w:bottom w:val="single" w:sz="4" w:space="0" w:color="auto"/>
              <w:right w:val="single" w:sz="4" w:space="0" w:color="auto"/>
            </w:tcBorders>
            <w:shd w:val="clear" w:color="auto" w:fill="auto"/>
            <w:noWrap/>
            <w:vAlign w:val="bottom"/>
            <w:hideMark/>
          </w:tcPr>
          <w:p w14:paraId="650A0689"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72500</w:t>
            </w:r>
          </w:p>
        </w:tc>
        <w:tc>
          <w:tcPr>
            <w:tcW w:w="1555" w:type="dxa"/>
            <w:tcBorders>
              <w:top w:val="nil"/>
              <w:left w:val="nil"/>
              <w:bottom w:val="single" w:sz="4" w:space="0" w:color="auto"/>
              <w:right w:val="single" w:sz="4" w:space="0" w:color="auto"/>
            </w:tcBorders>
            <w:shd w:val="clear" w:color="auto" w:fill="auto"/>
            <w:noWrap/>
            <w:vAlign w:val="bottom"/>
            <w:hideMark/>
          </w:tcPr>
          <w:p w14:paraId="73EC436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2,120 </w:t>
            </w:r>
          </w:p>
        </w:tc>
        <w:tc>
          <w:tcPr>
            <w:tcW w:w="1556" w:type="dxa"/>
            <w:tcBorders>
              <w:top w:val="nil"/>
              <w:left w:val="nil"/>
              <w:bottom w:val="single" w:sz="4" w:space="0" w:color="auto"/>
              <w:right w:val="single" w:sz="4" w:space="0" w:color="auto"/>
            </w:tcBorders>
            <w:shd w:val="clear" w:color="auto" w:fill="auto"/>
            <w:noWrap/>
            <w:vAlign w:val="bottom"/>
            <w:hideMark/>
          </w:tcPr>
          <w:p w14:paraId="54BE3BA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1,870 </w:t>
            </w:r>
          </w:p>
        </w:tc>
        <w:tc>
          <w:tcPr>
            <w:tcW w:w="1556" w:type="dxa"/>
            <w:tcBorders>
              <w:top w:val="nil"/>
              <w:left w:val="nil"/>
              <w:bottom w:val="single" w:sz="4" w:space="0" w:color="auto"/>
              <w:right w:val="single" w:sz="4" w:space="0" w:color="auto"/>
            </w:tcBorders>
            <w:shd w:val="clear" w:color="auto" w:fill="auto"/>
            <w:noWrap/>
            <w:vAlign w:val="bottom"/>
            <w:hideMark/>
          </w:tcPr>
          <w:p w14:paraId="4FC38881"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1,870 </w:t>
            </w:r>
          </w:p>
        </w:tc>
        <w:tc>
          <w:tcPr>
            <w:tcW w:w="1555" w:type="dxa"/>
            <w:tcBorders>
              <w:top w:val="nil"/>
              <w:left w:val="nil"/>
              <w:bottom w:val="single" w:sz="4" w:space="0" w:color="auto"/>
              <w:right w:val="single" w:sz="4" w:space="0" w:color="auto"/>
            </w:tcBorders>
            <w:shd w:val="clear" w:color="auto" w:fill="auto"/>
            <w:noWrap/>
            <w:vAlign w:val="bottom"/>
            <w:hideMark/>
          </w:tcPr>
          <w:p w14:paraId="4CCBAC1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1,870 </w:t>
            </w:r>
          </w:p>
        </w:tc>
        <w:tc>
          <w:tcPr>
            <w:tcW w:w="1556" w:type="dxa"/>
            <w:tcBorders>
              <w:top w:val="nil"/>
              <w:left w:val="nil"/>
              <w:bottom w:val="single" w:sz="4" w:space="0" w:color="auto"/>
              <w:right w:val="single" w:sz="4" w:space="0" w:color="auto"/>
            </w:tcBorders>
            <w:shd w:val="clear" w:color="auto" w:fill="auto"/>
            <w:noWrap/>
            <w:vAlign w:val="bottom"/>
            <w:hideMark/>
          </w:tcPr>
          <w:p w14:paraId="37A9A51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1,870 </w:t>
            </w:r>
          </w:p>
        </w:tc>
        <w:tc>
          <w:tcPr>
            <w:tcW w:w="1556" w:type="dxa"/>
            <w:tcBorders>
              <w:top w:val="nil"/>
              <w:left w:val="nil"/>
              <w:bottom w:val="single" w:sz="4" w:space="0" w:color="auto"/>
              <w:right w:val="single" w:sz="4" w:space="0" w:color="auto"/>
            </w:tcBorders>
            <w:shd w:val="clear" w:color="auto" w:fill="auto"/>
            <w:noWrap/>
            <w:vAlign w:val="bottom"/>
            <w:hideMark/>
          </w:tcPr>
          <w:p w14:paraId="5C73DEA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9,600 </w:t>
            </w:r>
          </w:p>
        </w:tc>
      </w:tr>
      <w:tr w14:paraId="069C0B9C"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01C9463"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Premises Alterations</w:t>
            </w:r>
          </w:p>
        </w:tc>
        <w:tc>
          <w:tcPr>
            <w:tcW w:w="1418" w:type="dxa"/>
            <w:tcBorders>
              <w:top w:val="nil"/>
              <w:left w:val="nil"/>
              <w:bottom w:val="single" w:sz="4" w:space="0" w:color="auto"/>
              <w:right w:val="single" w:sz="4" w:space="0" w:color="auto"/>
            </w:tcBorders>
            <w:shd w:val="clear" w:color="auto" w:fill="auto"/>
            <w:noWrap/>
            <w:vAlign w:val="bottom"/>
            <w:hideMark/>
          </w:tcPr>
          <w:p w14:paraId="3F1E7D67"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73200</w:t>
            </w:r>
          </w:p>
        </w:tc>
        <w:tc>
          <w:tcPr>
            <w:tcW w:w="1555" w:type="dxa"/>
            <w:tcBorders>
              <w:top w:val="nil"/>
              <w:left w:val="nil"/>
              <w:bottom w:val="single" w:sz="4" w:space="0" w:color="auto"/>
              <w:right w:val="single" w:sz="4" w:space="0" w:color="auto"/>
            </w:tcBorders>
            <w:shd w:val="clear" w:color="auto" w:fill="auto"/>
            <w:noWrap/>
            <w:vAlign w:val="bottom"/>
            <w:hideMark/>
          </w:tcPr>
          <w:p w14:paraId="19779F0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298,584 </w:t>
            </w:r>
          </w:p>
        </w:tc>
        <w:tc>
          <w:tcPr>
            <w:tcW w:w="1556" w:type="dxa"/>
            <w:tcBorders>
              <w:top w:val="nil"/>
              <w:left w:val="nil"/>
              <w:bottom w:val="single" w:sz="4" w:space="0" w:color="auto"/>
              <w:right w:val="single" w:sz="4" w:space="0" w:color="auto"/>
            </w:tcBorders>
            <w:shd w:val="clear" w:color="auto" w:fill="auto"/>
            <w:noWrap/>
            <w:vAlign w:val="bottom"/>
            <w:hideMark/>
          </w:tcPr>
          <w:p w14:paraId="07DDF342"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74,116 </w:t>
            </w:r>
          </w:p>
        </w:tc>
        <w:tc>
          <w:tcPr>
            <w:tcW w:w="1556" w:type="dxa"/>
            <w:tcBorders>
              <w:top w:val="nil"/>
              <w:left w:val="nil"/>
              <w:bottom w:val="single" w:sz="4" w:space="0" w:color="auto"/>
              <w:right w:val="single" w:sz="4" w:space="0" w:color="auto"/>
            </w:tcBorders>
            <w:shd w:val="clear" w:color="auto" w:fill="auto"/>
            <w:noWrap/>
            <w:vAlign w:val="bottom"/>
            <w:hideMark/>
          </w:tcPr>
          <w:p w14:paraId="11B34061"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5" w:type="dxa"/>
            <w:tcBorders>
              <w:top w:val="nil"/>
              <w:left w:val="nil"/>
              <w:bottom w:val="single" w:sz="4" w:space="0" w:color="auto"/>
              <w:right w:val="single" w:sz="4" w:space="0" w:color="auto"/>
            </w:tcBorders>
            <w:shd w:val="clear" w:color="auto" w:fill="auto"/>
            <w:noWrap/>
            <w:vAlign w:val="bottom"/>
            <w:hideMark/>
          </w:tcPr>
          <w:p w14:paraId="4CBF88B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364A4920"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   </w:t>
            </w:r>
          </w:p>
        </w:tc>
        <w:tc>
          <w:tcPr>
            <w:tcW w:w="1556" w:type="dxa"/>
            <w:tcBorders>
              <w:top w:val="nil"/>
              <w:left w:val="nil"/>
              <w:bottom w:val="single" w:sz="4" w:space="0" w:color="auto"/>
              <w:right w:val="single" w:sz="4" w:space="0" w:color="auto"/>
            </w:tcBorders>
            <w:shd w:val="clear" w:color="auto" w:fill="auto"/>
            <w:noWrap/>
            <w:vAlign w:val="bottom"/>
            <w:hideMark/>
          </w:tcPr>
          <w:p w14:paraId="2E9E9168"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372,700 </w:t>
            </w:r>
          </w:p>
        </w:tc>
      </w:tr>
      <w:tr w14:paraId="602EF708"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2DA273F"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Professional Services </w:t>
            </w:r>
          </w:p>
        </w:tc>
        <w:tc>
          <w:tcPr>
            <w:tcW w:w="1418" w:type="dxa"/>
            <w:tcBorders>
              <w:top w:val="nil"/>
              <w:left w:val="nil"/>
              <w:bottom w:val="single" w:sz="4" w:space="0" w:color="auto"/>
              <w:right w:val="single" w:sz="4" w:space="0" w:color="auto"/>
            </w:tcBorders>
            <w:shd w:val="clear" w:color="auto" w:fill="auto"/>
            <w:noWrap/>
            <w:vAlign w:val="bottom"/>
            <w:hideMark/>
          </w:tcPr>
          <w:p w14:paraId="49511E48"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74100</w:t>
            </w:r>
          </w:p>
        </w:tc>
        <w:tc>
          <w:tcPr>
            <w:tcW w:w="1555" w:type="dxa"/>
            <w:tcBorders>
              <w:top w:val="nil"/>
              <w:left w:val="nil"/>
              <w:bottom w:val="single" w:sz="4" w:space="0" w:color="auto"/>
              <w:right w:val="single" w:sz="4" w:space="0" w:color="auto"/>
            </w:tcBorders>
            <w:shd w:val="clear" w:color="auto" w:fill="auto"/>
            <w:noWrap/>
            <w:vAlign w:val="bottom"/>
            <w:hideMark/>
          </w:tcPr>
          <w:p w14:paraId="6664459F"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6,000 </w:t>
            </w:r>
          </w:p>
        </w:tc>
        <w:tc>
          <w:tcPr>
            <w:tcW w:w="1556" w:type="dxa"/>
            <w:tcBorders>
              <w:top w:val="nil"/>
              <w:left w:val="nil"/>
              <w:bottom w:val="single" w:sz="4" w:space="0" w:color="auto"/>
              <w:right w:val="single" w:sz="4" w:space="0" w:color="auto"/>
            </w:tcBorders>
            <w:shd w:val="clear" w:color="auto" w:fill="auto"/>
            <w:noWrap/>
            <w:vAlign w:val="bottom"/>
            <w:hideMark/>
          </w:tcPr>
          <w:p w14:paraId="58AE246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24,000 </w:t>
            </w:r>
          </w:p>
        </w:tc>
        <w:tc>
          <w:tcPr>
            <w:tcW w:w="1556" w:type="dxa"/>
            <w:tcBorders>
              <w:top w:val="nil"/>
              <w:left w:val="nil"/>
              <w:bottom w:val="single" w:sz="4" w:space="0" w:color="auto"/>
              <w:right w:val="single" w:sz="4" w:space="0" w:color="auto"/>
            </w:tcBorders>
            <w:shd w:val="clear" w:color="auto" w:fill="auto"/>
            <w:noWrap/>
            <w:vAlign w:val="bottom"/>
            <w:hideMark/>
          </w:tcPr>
          <w:p w14:paraId="7A7CDB45"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555" w:type="dxa"/>
            <w:tcBorders>
              <w:top w:val="nil"/>
              <w:left w:val="nil"/>
              <w:bottom w:val="single" w:sz="4" w:space="0" w:color="auto"/>
              <w:right w:val="single" w:sz="4" w:space="0" w:color="auto"/>
            </w:tcBorders>
            <w:shd w:val="clear" w:color="auto" w:fill="auto"/>
            <w:noWrap/>
            <w:vAlign w:val="bottom"/>
            <w:hideMark/>
          </w:tcPr>
          <w:p w14:paraId="46B0BA0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556" w:type="dxa"/>
            <w:tcBorders>
              <w:top w:val="nil"/>
              <w:left w:val="nil"/>
              <w:bottom w:val="single" w:sz="4" w:space="0" w:color="auto"/>
              <w:right w:val="single" w:sz="4" w:space="0" w:color="auto"/>
            </w:tcBorders>
            <w:shd w:val="clear" w:color="auto" w:fill="auto"/>
            <w:noWrap/>
            <w:vAlign w:val="bottom"/>
            <w:hideMark/>
          </w:tcPr>
          <w:p w14:paraId="64CDF3F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3,000 </w:t>
            </w:r>
          </w:p>
        </w:tc>
        <w:tc>
          <w:tcPr>
            <w:tcW w:w="1556" w:type="dxa"/>
            <w:tcBorders>
              <w:top w:val="nil"/>
              <w:left w:val="nil"/>
              <w:bottom w:val="single" w:sz="4" w:space="0" w:color="auto"/>
              <w:right w:val="single" w:sz="4" w:space="0" w:color="auto"/>
            </w:tcBorders>
            <w:shd w:val="clear" w:color="auto" w:fill="auto"/>
            <w:noWrap/>
            <w:vAlign w:val="bottom"/>
            <w:hideMark/>
          </w:tcPr>
          <w:p w14:paraId="51DE0955"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39,000 </w:t>
            </w:r>
          </w:p>
        </w:tc>
      </w:tr>
      <w:tr w14:paraId="55F59C8C"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CAD4E37" w:rsidR="00255367" w:rsidRPr="00297BAD" w:rsidRDefault="00255367" w:rsidP="002553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Audio- Visual print and production cost</w:t>
            </w:r>
          </w:p>
        </w:tc>
        <w:tc>
          <w:tcPr>
            <w:tcW w:w="1418" w:type="dxa"/>
            <w:tcBorders>
              <w:top w:val="nil"/>
              <w:left w:val="nil"/>
              <w:bottom w:val="single" w:sz="4" w:space="0" w:color="auto"/>
              <w:right w:val="single" w:sz="4" w:space="0" w:color="auto"/>
            </w:tcBorders>
            <w:shd w:val="clear" w:color="auto" w:fill="auto"/>
            <w:noWrap/>
            <w:vAlign w:val="bottom"/>
            <w:hideMark/>
          </w:tcPr>
          <w:p w14:paraId="3917DDA3"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74200</w:t>
            </w:r>
          </w:p>
        </w:tc>
        <w:tc>
          <w:tcPr>
            <w:tcW w:w="1555" w:type="dxa"/>
            <w:tcBorders>
              <w:top w:val="nil"/>
              <w:left w:val="nil"/>
              <w:bottom w:val="single" w:sz="4" w:space="0" w:color="auto"/>
              <w:right w:val="single" w:sz="4" w:space="0" w:color="auto"/>
            </w:tcBorders>
            <w:shd w:val="clear" w:color="auto" w:fill="auto"/>
            <w:noWrap/>
            <w:vAlign w:val="bottom"/>
            <w:hideMark/>
          </w:tcPr>
          <w:p w14:paraId="73C319CF"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19,763 </w:t>
            </w:r>
          </w:p>
        </w:tc>
        <w:tc>
          <w:tcPr>
            <w:tcW w:w="1556" w:type="dxa"/>
            <w:tcBorders>
              <w:top w:val="nil"/>
              <w:left w:val="nil"/>
              <w:bottom w:val="single" w:sz="4" w:space="0" w:color="auto"/>
              <w:right w:val="single" w:sz="4" w:space="0" w:color="auto"/>
            </w:tcBorders>
            <w:shd w:val="clear" w:color="auto" w:fill="auto"/>
            <w:noWrap/>
            <w:vAlign w:val="bottom"/>
            <w:hideMark/>
          </w:tcPr>
          <w:p w14:paraId="2B9A749F"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75,640 </w:t>
            </w:r>
          </w:p>
        </w:tc>
        <w:tc>
          <w:tcPr>
            <w:tcW w:w="1556" w:type="dxa"/>
            <w:tcBorders>
              <w:top w:val="nil"/>
              <w:left w:val="nil"/>
              <w:bottom w:val="single" w:sz="4" w:space="0" w:color="auto"/>
              <w:right w:val="single" w:sz="4" w:space="0" w:color="auto"/>
            </w:tcBorders>
            <w:shd w:val="clear" w:color="auto" w:fill="auto"/>
            <w:noWrap/>
            <w:vAlign w:val="bottom"/>
            <w:hideMark/>
          </w:tcPr>
          <w:p w14:paraId="173DE13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11,044 </w:t>
            </w:r>
          </w:p>
        </w:tc>
        <w:tc>
          <w:tcPr>
            <w:tcW w:w="1555" w:type="dxa"/>
            <w:tcBorders>
              <w:top w:val="nil"/>
              <w:left w:val="nil"/>
              <w:bottom w:val="single" w:sz="4" w:space="0" w:color="auto"/>
              <w:right w:val="single" w:sz="4" w:space="0" w:color="auto"/>
            </w:tcBorders>
            <w:shd w:val="clear" w:color="auto" w:fill="auto"/>
            <w:noWrap/>
            <w:vAlign w:val="bottom"/>
            <w:hideMark/>
          </w:tcPr>
          <w:p w14:paraId="0DAC950D"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13,635 </w:t>
            </w:r>
          </w:p>
        </w:tc>
        <w:tc>
          <w:tcPr>
            <w:tcW w:w="1556" w:type="dxa"/>
            <w:tcBorders>
              <w:top w:val="nil"/>
              <w:left w:val="nil"/>
              <w:bottom w:val="single" w:sz="4" w:space="0" w:color="auto"/>
              <w:right w:val="single" w:sz="4" w:space="0" w:color="auto"/>
            </w:tcBorders>
            <w:shd w:val="clear" w:color="auto" w:fill="auto"/>
            <w:noWrap/>
            <w:vAlign w:val="bottom"/>
            <w:hideMark/>
          </w:tcPr>
          <w:p w14:paraId="636E268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15,368 </w:t>
            </w:r>
          </w:p>
        </w:tc>
        <w:tc>
          <w:tcPr>
            <w:tcW w:w="1556" w:type="dxa"/>
            <w:tcBorders>
              <w:top w:val="nil"/>
              <w:left w:val="nil"/>
              <w:bottom w:val="single" w:sz="4" w:space="0" w:color="auto"/>
              <w:right w:val="single" w:sz="4" w:space="0" w:color="auto"/>
            </w:tcBorders>
            <w:shd w:val="clear" w:color="auto" w:fill="auto"/>
            <w:noWrap/>
            <w:vAlign w:val="bottom"/>
            <w:hideMark/>
          </w:tcPr>
          <w:p w14:paraId="440805F0"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135,450 </w:t>
            </w:r>
          </w:p>
        </w:tc>
      </w:tr>
      <w:tr w14:paraId="14F6FDCD"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0133E56F"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Miscellaneous Expenses</w:t>
            </w:r>
          </w:p>
        </w:tc>
        <w:tc>
          <w:tcPr>
            <w:tcW w:w="1418" w:type="dxa"/>
            <w:tcBorders>
              <w:top w:val="nil"/>
              <w:left w:val="nil"/>
              <w:bottom w:val="single" w:sz="4" w:space="0" w:color="auto"/>
              <w:right w:val="single" w:sz="4" w:space="0" w:color="auto"/>
            </w:tcBorders>
            <w:shd w:val="clear" w:color="auto" w:fill="auto"/>
            <w:noWrap/>
            <w:vAlign w:val="bottom"/>
            <w:hideMark/>
          </w:tcPr>
          <w:p w14:paraId="4759559C"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74500</w:t>
            </w:r>
          </w:p>
        </w:tc>
        <w:tc>
          <w:tcPr>
            <w:tcW w:w="1555" w:type="dxa"/>
            <w:tcBorders>
              <w:top w:val="nil"/>
              <w:left w:val="nil"/>
              <w:bottom w:val="single" w:sz="4" w:space="0" w:color="auto"/>
              <w:right w:val="single" w:sz="4" w:space="0" w:color="auto"/>
            </w:tcBorders>
            <w:shd w:val="clear" w:color="auto" w:fill="auto"/>
            <w:noWrap/>
            <w:vAlign w:val="bottom"/>
            <w:hideMark/>
          </w:tcPr>
          <w:p w14:paraId="1FE045E2"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600 </w:t>
            </w:r>
          </w:p>
        </w:tc>
        <w:tc>
          <w:tcPr>
            <w:tcW w:w="1556" w:type="dxa"/>
            <w:tcBorders>
              <w:top w:val="nil"/>
              <w:left w:val="nil"/>
              <w:bottom w:val="single" w:sz="4" w:space="0" w:color="auto"/>
              <w:right w:val="single" w:sz="4" w:space="0" w:color="auto"/>
            </w:tcBorders>
            <w:shd w:val="clear" w:color="auto" w:fill="auto"/>
            <w:noWrap/>
            <w:vAlign w:val="bottom"/>
            <w:hideMark/>
          </w:tcPr>
          <w:p w14:paraId="76019130"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3,173 </w:t>
            </w:r>
          </w:p>
        </w:tc>
        <w:tc>
          <w:tcPr>
            <w:tcW w:w="1556" w:type="dxa"/>
            <w:tcBorders>
              <w:top w:val="nil"/>
              <w:left w:val="nil"/>
              <w:bottom w:val="single" w:sz="4" w:space="0" w:color="auto"/>
              <w:right w:val="single" w:sz="4" w:space="0" w:color="auto"/>
            </w:tcBorders>
            <w:shd w:val="clear" w:color="auto" w:fill="auto"/>
            <w:noWrap/>
            <w:vAlign w:val="bottom"/>
            <w:hideMark/>
          </w:tcPr>
          <w:p w14:paraId="6CB542A9"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3,172 </w:t>
            </w:r>
          </w:p>
        </w:tc>
        <w:tc>
          <w:tcPr>
            <w:tcW w:w="1555" w:type="dxa"/>
            <w:tcBorders>
              <w:top w:val="nil"/>
              <w:left w:val="nil"/>
              <w:bottom w:val="single" w:sz="4" w:space="0" w:color="auto"/>
              <w:right w:val="single" w:sz="4" w:space="0" w:color="auto"/>
            </w:tcBorders>
            <w:shd w:val="clear" w:color="auto" w:fill="auto"/>
            <w:noWrap/>
            <w:vAlign w:val="bottom"/>
            <w:hideMark/>
          </w:tcPr>
          <w:p w14:paraId="5C27A0CC"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3,172 </w:t>
            </w:r>
          </w:p>
        </w:tc>
        <w:tc>
          <w:tcPr>
            <w:tcW w:w="1556" w:type="dxa"/>
            <w:tcBorders>
              <w:top w:val="nil"/>
              <w:left w:val="nil"/>
              <w:bottom w:val="single" w:sz="4" w:space="0" w:color="auto"/>
              <w:right w:val="single" w:sz="4" w:space="0" w:color="auto"/>
            </w:tcBorders>
            <w:shd w:val="clear" w:color="auto" w:fill="auto"/>
            <w:noWrap/>
            <w:vAlign w:val="bottom"/>
            <w:hideMark/>
          </w:tcPr>
          <w:p w14:paraId="182B2F4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3,172 </w:t>
            </w:r>
          </w:p>
        </w:tc>
        <w:tc>
          <w:tcPr>
            <w:tcW w:w="1556" w:type="dxa"/>
            <w:tcBorders>
              <w:top w:val="nil"/>
              <w:left w:val="nil"/>
              <w:bottom w:val="single" w:sz="4" w:space="0" w:color="auto"/>
              <w:right w:val="single" w:sz="4" w:space="0" w:color="auto"/>
            </w:tcBorders>
            <w:shd w:val="clear" w:color="auto" w:fill="auto"/>
            <w:noWrap/>
            <w:vAlign w:val="bottom"/>
            <w:hideMark/>
          </w:tcPr>
          <w:p w14:paraId="40904D20"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13,289 </w:t>
            </w:r>
          </w:p>
        </w:tc>
      </w:tr>
      <w:tr w14:paraId="078E4EA2"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5E1A0EE0"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Training Workshop conference</w:t>
            </w:r>
          </w:p>
        </w:tc>
        <w:tc>
          <w:tcPr>
            <w:tcW w:w="1418" w:type="dxa"/>
            <w:tcBorders>
              <w:top w:val="nil"/>
              <w:left w:val="nil"/>
              <w:bottom w:val="single" w:sz="4" w:space="0" w:color="auto"/>
              <w:right w:val="single" w:sz="4" w:space="0" w:color="auto"/>
            </w:tcBorders>
            <w:shd w:val="clear" w:color="auto" w:fill="auto"/>
            <w:noWrap/>
            <w:vAlign w:val="bottom"/>
            <w:hideMark/>
          </w:tcPr>
          <w:p w14:paraId="70FEAB63"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75700</w:t>
            </w:r>
          </w:p>
        </w:tc>
        <w:tc>
          <w:tcPr>
            <w:tcW w:w="1555" w:type="dxa"/>
            <w:tcBorders>
              <w:top w:val="nil"/>
              <w:left w:val="nil"/>
              <w:bottom w:val="single" w:sz="4" w:space="0" w:color="auto"/>
              <w:right w:val="single" w:sz="4" w:space="0" w:color="auto"/>
            </w:tcBorders>
            <w:shd w:val="clear" w:color="auto" w:fill="auto"/>
            <w:noWrap/>
            <w:vAlign w:val="bottom"/>
            <w:hideMark/>
          </w:tcPr>
          <w:p w14:paraId="2FEC9594"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5,500 </w:t>
            </w:r>
          </w:p>
        </w:tc>
        <w:tc>
          <w:tcPr>
            <w:tcW w:w="1556" w:type="dxa"/>
            <w:tcBorders>
              <w:top w:val="nil"/>
              <w:left w:val="nil"/>
              <w:bottom w:val="single" w:sz="4" w:space="0" w:color="auto"/>
              <w:right w:val="single" w:sz="4" w:space="0" w:color="auto"/>
            </w:tcBorders>
            <w:shd w:val="clear" w:color="auto" w:fill="auto"/>
            <w:noWrap/>
            <w:vAlign w:val="bottom"/>
            <w:hideMark/>
          </w:tcPr>
          <w:p w14:paraId="76E902A7"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143,208 </w:t>
            </w:r>
          </w:p>
        </w:tc>
        <w:tc>
          <w:tcPr>
            <w:tcW w:w="1556" w:type="dxa"/>
            <w:tcBorders>
              <w:top w:val="nil"/>
              <w:left w:val="nil"/>
              <w:bottom w:val="single" w:sz="4" w:space="0" w:color="auto"/>
              <w:right w:val="single" w:sz="4" w:space="0" w:color="auto"/>
            </w:tcBorders>
            <w:shd w:val="clear" w:color="auto" w:fill="auto"/>
            <w:noWrap/>
            <w:vAlign w:val="bottom"/>
            <w:hideMark/>
          </w:tcPr>
          <w:p w14:paraId="2743427F"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48,446 </w:t>
            </w:r>
          </w:p>
        </w:tc>
        <w:tc>
          <w:tcPr>
            <w:tcW w:w="1555" w:type="dxa"/>
            <w:tcBorders>
              <w:top w:val="nil"/>
              <w:left w:val="nil"/>
              <w:bottom w:val="single" w:sz="4" w:space="0" w:color="auto"/>
              <w:right w:val="single" w:sz="4" w:space="0" w:color="auto"/>
            </w:tcBorders>
            <w:shd w:val="clear" w:color="auto" w:fill="auto"/>
            <w:noWrap/>
            <w:vAlign w:val="bottom"/>
            <w:hideMark/>
          </w:tcPr>
          <w:p w14:paraId="5D60890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68,144 </w:t>
            </w:r>
          </w:p>
        </w:tc>
        <w:tc>
          <w:tcPr>
            <w:tcW w:w="1556" w:type="dxa"/>
            <w:tcBorders>
              <w:top w:val="nil"/>
              <w:left w:val="nil"/>
              <w:bottom w:val="single" w:sz="4" w:space="0" w:color="auto"/>
              <w:right w:val="single" w:sz="4" w:space="0" w:color="auto"/>
            </w:tcBorders>
            <w:shd w:val="clear" w:color="auto" w:fill="auto"/>
            <w:noWrap/>
            <w:vAlign w:val="bottom"/>
            <w:hideMark/>
          </w:tcPr>
          <w:p w14:paraId="5B62D1F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27,182 </w:t>
            </w:r>
          </w:p>
        </w:tc>
        <w:tc>
          <w:tcPr>
            <w:tcW w:w="1556" w:type="dxa"/>
            <w:tcBorders>
              <w:top w:val="nil"/>
              <w:left w:val="nil"/>
              <w:bottom w:val="single" w:sz="4" w:space="0" w:color="auto"/>
              <w:right w:val="single" w:sz="4" w:space="0" w:color="auto"/>
            </w:tcBorders>
            <w:shd w:val="clear" w:color="auto" w:fill="auto"/>
            <w:noWrap/>
            <w:vAlign w:val="bottom"/>
            <w:hideMark/>
          </w:tcPr>
          <w:p w14:paraId="463F5FEA"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292,480 </w:t>
            </w:r>
          </w:p>
        </w:tc>
      </w:tr>
      <w:tr w14:paraId="0FDAAA6F"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38994060" w:rsidR="00255367" w:rsidRPr="00297BAD" w:rsidRDefault="00255367" w:rsidP="00255367">
            <w:pPr>
              <w:spacing w:after="0" w:line="240" w:lineRule="auto"/>
              <w:rPr>
                <w:rFonts w:ascii="Times New Roman" w:eastAsia="Times New Roman" w:hAnsi="Times New Roman" w:cs="Times New Roman"/>
                <w:color w:val="000000"/>
                <w:lang w:eastAsia="es-MX"/>
              </w:rPr>
            </w:pPr>
            <w:r w:rsidRPr="00297BAD">
              <w:rPr>
                <w:rFonts w:ascii="Times New Roman" w:hAnsi="Times New Roman" w:eastAsia="Times New Roman" w:cs="Times New Roman"/>
                <w:color w:val="000000"/>
                <w:lang w:eastAsia="es-MX"/>
              </w:rPr>
              <w:t>UNDP-Cost recovery charges-Bills</w:t>
            </w:r>
          </w:p>
        </w:tc>
        <w:tc>
          <w:tcPr>
            <w:tcW w:w="1418" w:type="dxa"/>
            <w:tcBorders>
              <w:top w:val="nil"/>
              <w:left w:val="nil"/>
              <w:bottom w:val="single" w:sz="4" w:space="0" w:color="auto"/>
              <w:right w:val="single" w:sz="4" w:space="0" w:color="auto"/>
            </w:tcBorders>
            <w:shd w:val="clear" w:color="auto" w:fill="auto"/>
            <w:noWrap/>
            <w:vAlign w:val="bottom"/>
            <w:hideMark/>
          </w:tcPr>
          <w:p w14:paraId="6B464FE4" w:rsidR="00255367" w:rsidRPr="00297BAD" w:rsidRDefault="00255367" w:rsidP="00255367">
            <w:pPr>
              <w:spacing w:after="0" w:line="240" w:lineRule="auto"/>
              <w:jc w:val="center"/>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74599</w:t>
            </w:r>
          </w:p>
        </w:tc>
        <w:tc>
          <w:tcPr>
            <w:tcW w:w="1555" w:type="dxa"/>
            <w:tcBorders>
              <w:top w:val="nil"/>
              <w:left w:val="nil"/>
              <w:bottom w:val="single" w:sz="4" w:space="0" w:color="auto"/>
              <w:right w:val="single" w:sz="4" w:space="0" w:color="auto"/>
            </w:tcBorders>
            <w:shd w:val="clear" w:color="auto" w:fill="auto"/>
            <w:noWrap/>
            <w:vAlign w:val="bottom"/>
            <w:hideMark/>
          </w:tcPr>
          <w:p w14:paraId="6A8D2B43"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556" w:type="dxa"/>
            <w:tcBorders>
              <w:top w:val="nil"/>
              <w:left w:val="nil"/>
              <w:bottom w:val="single" w:sz="4" w:space="0" w:color="auto"/>
              <w:right w:val="single" w:sz="4" w:space="0" w:color="auto"/>
            </w:tcBorders>
            <w:shd w:val="clear" w:color="auto" w:fill="auto"/>
            <w:noWrap/>
            <w:vAlign w:val="bottom"/>
            <w:hideMark/>
          </w:tcPr>
          <w:p w14:paraId="2D3B8955"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556" w:type="dxa"/>
            <w:tcBorders>
              <w:top w:val="nil"/>
              <w:left w:val="nil"/>
              <w:bottom w:val="single" w:sz="4" w:space="0" w:color="auto"/>
              <w:right w:val="single" w:sz="4" w:space="0" w:color="auto"/>
            </w:tcBorders>
            <w:shd w:val="clear" w:color="auto" w:fill="auto"/>
            <w:noWrap/>
            <w:vAlign w:val="bottom"/>
            <w:hideMark/>
          </w:tcPr>
          <w:p w14:paraId="6FF047AE"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555" w:type="dxa"/>
            <w:tcBorders>
              <w:top w:val="nil"/>
              <w:left w:val="nil"/>
              <w:bottom w:val="single" w:sz="4" w:space="0" w:color="auto"/>
              <w:right w:val="single" w:sz="4" w:space="0" w:color="auto"/>
            </w:tcBorders>
            <w:shd w:val="clear" w:color="auto" w:fill="auto"/>
            <w:noWrap/>
            <w:vAlign w:val="bottom"/>
            <w:hideMark/>
          </w:tcPr>
          <w:p w14:paraId="7DE57F2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556" w:type="dxa"/>
            <w:tcBorders>
              <w:top w:val="nil"/>
              <w:left w:val="nil"/>
              <w:bottom w:val="single" w:sz="4" w:space="0" w:color="auto"/>
              <w:right w:val="single" w:sz="4" w:space="0" w:color="auto"/>
            </w:tcBorders>
            <w:shd w:val="clear" w:color="auto" w:fill="auto"/>
            <w:noWrap/>
            <w:vAlign w:val="bottom"/>
            <w:hideMark/>
          </w:tcPr>
          <w:p w14:paraId="76D60F8C"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11,760 </w:t>
            </w:r>
          </w:p>
        </w:tc>
        <w:tc>
          <w:tcPr>
            <w:tcW w:w="1556" w:type="dxa"/>
            <w:tcBorders>
              <w:top w:val="nil"/>
              <w:left w:val="nil"/>
              <w:bottom w:val="single" w:sz="4" w:space="0" w:color="auto"/>
              <w:right w:val="single" w:sz="4" w:space="0" w:color="auto"/>
            </w:tcBorders>
            <w:shd w:val="clear" w:color="auto" w:fill="auto"/>
            <w:noWrap/>
            <w:vAlign w:val="bottom"/>
            <w:hideMark/>
          </w:tcPr>
          <w:p w14:paraId="5AFC56DB" w:rsidR="00255367" w:rsidRPr="00297BAD" w:rsidRDefault="00255367" w:rsidP="00255367">
            <w:pPr>
              <w:spacing w:after="0" w:line="240" w:lineRule="auto"/>
              <w:jc w:val="right"/>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xml:space="preserve">                  58,800 </w:t>
            </w:r>
          </w:p>
        </w:tc>
      </w:tr>
      <w:tr w14:paraId="235C0104" w:rsidR="00255367" w:rsidRPr="00297BAD" w:rsidTr="00255367">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14:paraId="12D8F1CC" w:rsidR="00255367" w:rsidRPr="00297BAD" w:rsidRDefault="00255367" w:rsidP="00255367">
            <w:pPr>
              <w:spacing w:after="0" w:line="240" w:lineRule="auto"/>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24821FC4" w:rsidR="00255367" w:rsidRPr="00297BAD" w:rsidRDefault="00255367" w:rsidP="00255367">
            <w:pPr>
              <w:spacing w:after="0" w:line="240" w:lineRule="auto"/>
              <w:rPr>
                <w:rFonts w:ascii="Times New Roman" w:eastAsia="Times New Roman" w:hAnsi="Times New Roman" w:cs="Times New Roman"/>
                <w:color w:val="000000"/>
                <w:lang w:val="es-MX" w:eastAsia="es-MX"/>
              </w:rPr>
            </w:pPr>
            <w:r w:rsidRPr="00297BAD">
              <w:rPr>
                <w:rFonts w:ascii="Times New Roman" w:hAnsi="Times New Roman" w:eastAsia="Times New Roman" w:cs="Times New Roman"/>
                <w:color w:val="000000"/>
                <w:lang w:val="es-MX" w:eastAsia="es-MX"/>
              </w:rPr>
              <w:t> </w:t>
            </w:r>
          </w:p>
        </w:tc>
        <w:tc>
          <w:tcPr>
            <w:tcW w:w="1555" w:type="dxa"/>
            <w:tcBorders>
              <w:top w:val="nil"/>
              <w:left w:val="nil"/>
              <w:bottom w:val="single" w:sz="4" w:space="0" w:color="auto"/>
              <w:right w:val="single" w:sz="4" w:space="0" w:color="auto"/>
            </w:tcBorders>
            <w:shd w:val="clear" w:color="auto" w:fill="auto"/>
            <w:noWrap/>
            <w:vAlign w:val="bottom"/>
            <w:hideMark/>
          </w:tcPr>
          <w:p w14:paraId="27E09C2E"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784,682 </w:t>
            </w:r>
          </w:p>
        </w:tc>
        <w:tc>
          <w:tcPr>
            <w:tcW w:w="1556" w:type="dxa"/>
            <w:tcBorders>
              <w:top w:val="nil"/>
              <w:left w:val="nil"/>
              <w:bottom w:val="single" w:sz="4" w:space="0" w:color="auto"/>
              <w:right w:val="single" w:sz="4" w:space="0" w:color="auto"/>
            </w:tcBorders>
            <w:shd w:val="clear" w:color="auto" w:fill="auto"/>
            <w:noWrap/>
            <w:vAlign w:val="bottom"/>
            <w:hideMark/>
          </w:tcPr>
          <w:p w14:paraId="0BCB0A01"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855,631 </w:t>
            </w:r>
          </w:p>
        </w:tc>
        <w:tc>
          <w:tcPr>
            <w:tcW w:w="1556" w:type="dxa"/>
            <w:tcBorders>
              <w:top w:val="nil"/>
              <w:left w:val="nil"/>
              <w:bottom w:val="single" w:sz="4" w:space="0" w:color="auto"/>
              <w:right w:val="single" w:sz="4" w:space="0" w:color="auto"/>
            </w:tcBorders>
            <w:shd w:val="clear" w:color="auto" w:fill="auto"/>
            <w:noWrap/>
            <w:vAlign w:val="bottom"/>
            <w:hideMark/>
          </w:tcPr>
          <w:p w14:paraId="246FCCB6"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518,222 </w:t>
            </w:r>
          </w:p>
        </w:tc>
        <w:tc>
          <w:tcPr>
            <w:tcW w:w="1555" w:type="dxa"/>
            <w:tcBorders>
              <w:top w:val="nil"/>
              <w:left w:val="nil"/>
              <w:bottom w:val="single" w:sz="4" w:space="0" w:color="auto"/>
              <w:right w:val="single" w:sz="4" w:space="0" w:color="auto"/>
            </w:tcBorders>
            <w:shd w:val="clear" w:color="auto" w:fill="auto"/>
            <w:noWrap/>
            <w:vAlign w:val="bottom"/>
            <w:hideMark/>
          </w:tcPr>
          <w:p w14:paraId="4DAB3A70"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456,193 </w:t>
            </w:r>
          </w:p>
        </w:tc>
        <w:tc>
          <w:tcPr>
            <w:tcW w:w="1556" w:type="dxa"/>
            <w:tcBorders>
              <w:top w:val="nil"/>
              <w:left w:val="nil"/>
              <w:bottom w:val="single" w:sz="4" w:space="0" w:color="auto"/>
              <w:right w:val="single" w:sz="4" w:space="0" w:color="auto"/>
            </w:tcBorders>
            <w:shd w:val="clear" w:color="auto" w:fill="auto"/>
            <w:noWrap/>
            <w:vAlign w:val="bottom"/>
            <w:hideMark/>
          </w:tcPr>
          <w:p w14:paraId="37C88AF1"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416,938 </w:t>
            </w:r>
          </w:p>
        </w:tc>
        <w:tc>
          <w:tcPr>
            <w:tcW w:w="1556" w:type="dxa"/>
            <w:tcBorders>
              <w:top w:val="nil"/>
              <w:left w:val="nil"/>
              <w:bottom w:val="single" w:sz="4" w:space="0" w:color="auto"/>
              <w:right w:val="single" w:sz="4" w:space="0" w:color="auto"/>
            </w:tcBorders>
            <w:shd w:val="clear" w:color="auto" w:fill="auto"/>
            <w:noWrap/>
            <w:vAlign w:val="bottom"/>
            <w:hideMark/>
          </w:tcPr>
          <w:p w14:paraId="351663B1" w:rsidR="00255367" w:rsidRPr="00297BAD" w:rsidRDefault="00255367" w:rsidP="00255367">
            <w:pPr>
              <w:spacing w:after="0" w:line="240" w:lineRule="auto"/>
              <w:jc w:val="right"/>
              <w:rPr>
                <w:rFonts w:ascii="Times New Roman" w:eastAsia="Times New Roman" w:hAnsi="Times New Roman" w:cs="Times New Roman"/>
                <w:b/>
                <w:bCs/>
                <w:color w:val="000000"/>
                <w:lang w:val="es-MX" w:eastAsia="es-MX"/>
              </w:rPr>
            </w:pPr>
            <w:r w:rsidRPr="00297BAD">
              <w:rPr>
                <w:rFonts w:ascii="Times New Roman" w:hAnsi="Times New Roman" w:eastAsia="Times New Roman" w:cs="Times New Roman"/>
                <w:b/>
                <w:bCs/>
                <w:color w:val="000000"/>
                <w:lang w:val="es-MX" w:eastAsia="es-MX"/>
              </w:rPr>
              <w:t xml:space="preserve">            3,031,666 </w:t>
            </w:r>
          </w:p>
        </w:tc>
      </w:tr>
    </w:tbl>
    <w:p w14:paraId="67453BCB" w:rsidR="00255367" w:rsidRDefault="00255367" w:rsidP="00F165D0">
      <w:pPr>
        <w:tabs>
          <w:tab w:val="left" w:pos="6331"/>
        </w:tabs>
        <w:rPr>
          <w:rFonts w:ascii="Times New Roman" w:hAnsi="Times New Roman" w:cs="Times New Roman"/>
        </w:rPr>
      </w:pPr>
    </w:p>
    <w:p w14:paraId="404EB126" w:rsidR="00255367" w:rsidRDefault="00255367" w:rsidP="00F165D0">
      <w:pPr>
        <w:tabs>
          <w:tab w:val="left" w:pos="6331"/>
        </w:tabs>
        <w:rPr>
          <w:rFonts w:ascii="Times New Roman" w:hAnsi="Times New Roman" w:cs="Times New Roman"/>
        </w:rPr>
      </w:pPr>
    </w:p>
    <w:p w14:paraId="3CD8960E" w:rsidR="00255367" w:rsidRDefault="00255367" w:rsidP="00F165D0">
      <w:pPr>
        <w:tabs>
          <w:tab w:val="left" w:pos="6331"/>
        </w:tabs>
        <w:rPr>
          <w:rFonts w:ascii="Times New Roman" w:hAnsi="Times New Roman" w:cs="Times New Roman"/>
        </w:rPr>
      </w:pPr>
    </w:p>
    <w:tbl>
      <w:tblPr>
        <w:tblW w:w="8745" w:type="dxa"/>
        <w:jc w:val="center"/>
        <w:tblLook w:val="04A0" w:firstRow="1" w:lastRow="0" w:firstColumn="1" w:lastColumn="0" w:noHBand="0" w:noVBand="1"/>
      </w:tblPr>
      <w:tblGrid>
        <w:gridCol w:w="2800"/>
        <w:gridCol w:w="2885"/>
        <w:gridCol w:w="3060"/>
      </w:tblGrid>
      <w:tr w14:paraId="5C9BDB9E" w:rsidR="00F165D0" w:rsidRPr="00DC4545" w:rsidTr="00297BAD">
        <w:trPr>
          <w:trHeight w:val="638"/>
          <w:jc w:val="center"/>
        </w:trPr>
        <w:tc>
          <w:tcPr>
            <w:tcW w:w="2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A3CA4D3"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COMPONENT</w:t>
            </w:r>
          </w:p>
        </w:tc>
        <w:tc>
          <w:tcPr>
            <w:tcW w:w="2885"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082F51C"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TOTAL BUDGET ASSIGNED (USD)</w:t>
            </w:r>
          </w:p>
        </w:tc>
        <w:tc>
          <w:tcPr>
            <w:tcW w:w="30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9EC8E25" w:rsidR="00F165D0" w:rsidRPr="00DC4545" w:rsidRDefault="00F165D0" w:rsidP="0042567A">
            <w:pPr>
              <w:spacing w:after="0" w:line="240" w:lineRule="auto"/>
              <w:rPr>
                <w:rFonts w:ascii="Times New Roman" w:eastAsia="Times New Roman" w:hAnsi="Times New Roman" w:cs="Times New Roman"/>
                <w:b/>
                <w:bCs/>
                <w:color w:val="000000"/>
              </w:rPr>
            </w:pPr>
            <w:r w:rsidRPr="00DC4545">
              <w:rPr>
                <w:rFonts w:ascii="Times New Roman" w:hAnsi="Times New Roman" w:eastAsia="Times New Roman" w:cs="Times New Roman"/>
                <w:b/>
                <w:bCs/>
                <w:color w:val="000000"/>
              </w:rPr>
              <w:t>PERCENTAGE OF TOTAL BUDGET ASSIGNED</w:t>
            </w:r>
          </w:p>
        </w:tc>
      </w:tr>
      <w:tr w14:paraId="3F226B6C" w:rsidR="00255367" w:rsidRPr="00DC4545" w:rsidTr="00297BAD">
        <w:trPr>
          <w:trHeight w:val="300"/>
          <w:jc w:val="center"/>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06B3E51E" w:rsidR="00255367" w:rsidRPr="00DC4545" w:rsidRDefault="00255367" w:rsidP="0042567A">
            <w:pPr>
              <w:spacing w:after="0" w:line="360" w:lineRule="auto"/>
              <w:rPr>
                <w:rFonts w:ascii="Times New Roman" w:eastAsia="Times New Roman" w:hAnsi="Times New Roman" w:cs="Times New Roman"/>
                <w:color w:val="000000"/>
              </w:rPr>
            </w:pPr>
            <w:r w:rsidRPr="00DC4545">
              <w:rPr>
                <w:rFonts w:ascii="Times New Roman" w:hAnsi="Times New Roman" w:eastAsia="Times New Roman" w:cs="Times New Roman"/>
                <w:color w:val="000000"/>
              </w:rPr>
              <w:t>COMPONENT 1</w:t>
            </w:r>
          </w:p>
        </w:tc>
        <w:tc>
          <w:tcPr>
            <w:tcW w:w="2885" w:type="dxa"/>
            <w:tcBorders>
              <w:top w:val="nil"/>
              <w:left w:val="nil"/>
              <w:bottom w:val="single" w:sz="4" w:space="0" w:color="auto"/>
              <w:right w:val="single" w:sz="4" w:space="0" w:color="auto"/>
            </w:tcBorders>
            <w:shd w:val="clear" w:color="auto" w:fill="auto"/>
            <w:vAlign w:val="center"/>
          </w:tcPr>
          <w:p w14:paraId="60DF5DF1" w:rsidR="00255367" w:rsidRPr="00255367" w:rsidRDefault="00255367" w:rsidP="00297BAD">
            <w:pPr>
              <w:jc w:val="right"/>
              <w:rPr>
                <w:rFonts w:ascii="Times New Roman" w:eastAsia="Times New Roman" w:hAnsi="Times New Roman" w:cs="Times New Roman"/>
                <w:color w:val="000000"/>
              </w:rPr>
            </w:pPr>
            <w:r w:rsidRPr="00255367">
              <w:rPr>
                <w:rFonts w:ascii="Times New Roman" w:hAnsi="Times New Roman" w:eastAsia="Times New Roman" w:cs="Times New Roman"/>
                <w:color w:val="000000"/>
              </w:rPr>
              <w:t xml:space="preserve"> 1,945,000 </w:t>
            </w:r>
          </w:p>
        </w:tc>
        <w:tc>
          <w:tcPr>
            <w:tcW w:w="3060" w:type="dxa"/>
            <w:tcBorders>
              <w:top w:val="nil"/>
              <w:left w:val="nil"/>
              <w:bottom w:val="single" w:sz="4" w:space="0" w:color="auto"/>
              <w:right w:val="single" w:sz="4" w:space="0" w:color="auto"/>
            </w:tcBorders>
            <w:shd w:val="clear" w:color="auto" w:fill="auto"/>
            <w:vAlign w:val="bottom"/>
            <w:hideMark/>
          </w:tcPr>
          <w:p w14:paraId="260906F8" w:rsidR="00255367" w:rsidRPr="00DC4545" w:rsidRDefault="00255367" w:rsidP="00255367">
            <w:pPr>
              <w:spacing w:after="0" w:line="360" w:lineRule="auto"/>
              <w:jc w:val="center"/>
              <w:rPr>
                <w:rFonts w:ascii="Times New Roman" w:eastAsia="Times New Roman" w:hAnsi="Times New Roman" w:cs="Times New Roman"/>
                <w:color w:val="000000"/>
              </w:rPr>
            </w:pPr>
            <w:r w:rsidRPr="00DC4545">
              <w:rPr>
                <w:rFonts w:ascii="Times New Roman" w:hAnsi="Times New Roman" w:eastAsia="Times New Roman" w:cs="Times New Roman"/>
                <w:color w:val="000000"/>
              </w:rPr>
              <w:t>64.2</w:t>
            </w:r>
          </w:p>
        </w:tc>
      </w:tr>
      <w:tr w14:paraId="65C44B8F" w:rsidR="00255367" w:rsidRPr="00DC4545" w:rsidTr="00297BAD">
        <w:trPr>
          <w:trHeight w:val="300"/>
          <w:jc w:val="center"/>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11D49B24" w:rsidR="00255367" w:rsidRPr="00DC4545" w:rsidRDefault="00255367" w:rsidP="0042567A">
            <w:pPr>
              <w:spacing w:after="0" w:line="360" w:lineRule="auto"/>
              <w:rPr>
                <w:rFonts w:ascii="Times New Roman" w:eastAsia="Times New Roman" w:hAnsi="Times New Roman" w:cs="Times New Roman"/>
                <w:color w:val="000000"/>
              </w:rPr>
            </w:pPr>
            <w:r w:rsidRPr="00DC4545">
              <w:rPr>
                <w:rFonts w:ascii="Times New Roman" w:hAnsi="Times New Roman" w:eastAsia="Times New Roman" w:cs="Times New Roman"/>
                <w:color w:val="000000"/>
              </w:rPr>
              <w:t>COMPONENT 2</w:t>
            </w:r>
          </w:p>
        </w:tc>
        <w:tc>
          <w:tcPr>
            <w:tcW w:w="2885" w:type="dxa"/>
            <w:tcBorders>
              <w:top w:val="nil"/>
              <w:left w:val="nil"/>
              <w:bottom w:val="single" w:sz="4" w:space="0" w:color="auto"/>
              <w:right w:val="single" w:sz="4" w:space="0" w:color="auto"/>
            </w:tcBorders>
            <w:shd w:val="clear" w:color="auto" w:fill="auto"/>
            <w:vAlign w:val="center"/>
          </w:tcPr>
          <w:p w14:paraId="166290C1" w:rsidR="00255367" w:rsidRPr="00255367" w:rsidRDefault="00255367" w:rsidP="00297BAD">
            <w:pPr>
              <w:jc w:val="right"/>
              <w:rPr>
                <w:rFonts w:ascii="Times New Roman" w:eastAsia="Times New Roman" w:hAnsi="Times New Roman" w:cs="Times New Roman"/>
                <w:color w:val="000000"/>
              </w:rPr>
            </w:pPr>
            <w:r w:rsidRPr="00255367">
              <w:rPr>
                <w:rFonts w:ascii="Times New Roman" w:hAnsi="Times New Roman" w:eastAsia="Times New Roman" w:cs="Times New Roman"/>
                <w:color w:val="000000"/>
              </w:rPr>
              <w:t xml:space="preserve"> 946,825 </w:t>
            </w:r>
          </w:p>
        </w:tc>
        <w:tc>
          <w:tcPr>
            <w:tcW w:w="3060" w:type="dxa"/>
            <w:tcBorders>
              <w:top w:val="nil"/>
              <w:left w:val="nil"/>
              <w:bottom w:val="single" w:sz="4" w:space="0" w:color="auto"/>
              <w:right w:val="single" w:sz="4" w:space="0" w:color="auto"/>
            </w:tcBorders>
            <w:shd w:val="clear" w:color="auto" w:fill="auto"/>
            <w:vAlign w:val="bottom"/>
            <w:hideMark/>
          </w:tcPr>
          <w:p w14:paraId="5037A2A3" w:rsidR="00255367" w:rsidRPr="00DC4545" w:rsidRDefault="00255367" w:rsidP="00255367">
            <w:pPr>
              <w:spacing w:after="0" w:line="360" w:lineRule="auto"/>
              <w:jc w:val="center"/>
              <w:rPr>
                <w:rFonts w:ascii="Times New Roman" w:eastAsia="Times New Roman" w:hAnsi="Times New Roman" w:cs="Times New Roman"/>
                <w:color w:val="000000"/>
              </w:rPr>
            </w:pPr>
            <w:r w:rsidRPr="00DC4545">
              <w:rPr>
                <w:rFonts w:ascii="Times New Roman" w:hAnsi="Times New Roman" w:eastAsia="Times New Roman" w:cs="Times New Roman"/>
                <w:color w:val="000000"/>
              </w:rPr>
              <w:t>31.2</w:t>
            </w:r>
          </w:p>
        </w:tc>
      </w:tr>
      <w:tr w14:paraId="50FE814E" w:rsidR="00255367" w:rsidRPr="00DC4545" w:rsidTr="00297BAD">
        <w:trPr>
          <w:trHeight w:val="300"/>
          <w:jc w:val="center"/>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7DD1EA9D" w:rsidR="00255367" w:rsidRPr="00DC4545" w:rsidRDefault="00255367" w:rsidP="0042567A">
            <w:pPr>
              <w:spacing w:after="0" w:line="360" w:lineRule="auto"/>
              <w:rPr>
                <w:rFonts w:ascii="Times New Roman" w:eastAsia="Times New Roman" w:hAnsi="Times New Roman" w:cs="Times New Roman"/>
                <w:color w:val="000000"/>
              </w:rPr>
            </w:pPr>
            <w:r w:rsidRPr="00DC4545">
              <w:rPr>
                <w:rFonts w:ascii="Times New Roman" w:hAnsi="Times New Roman" w:eastAsia="Times New Roman" w:cs="Times New Roman"/>
                <w:color w:val="000000"/>
              </w:rPr>
              <w:t>PROJECT MANAGEMENT</w:t>
            </w:r>
          </w:p>
        </w:tc>
        <w:tc>
          <w:tcPr>
            <w:tcW w:w="2885" w:type="dxa"/>
            <w:tcBorders>
              <w:top w:val="nil"/>
              <w:left w:val="nil"/>
              <w:bottom w:val="single" w:sz="4" w:space="0" w:color="auto"/>
              <w:right w:val="single" w:sz="4" w:space="0" w:color="auto"/>
            </w:tcBorders>
            <w:shd w:val="clear" w:color="auto" w:fill="auto"/>
            <w:vAlign w:val="center"/>
          </w:tcPr>
          <w:p w14:paraId="2AD4E62B" w:rsidR="00255367" w:rsidRPr="00255367" w:rsidRDefault="00255367" w:rsidP="00297BAD">
            <w:pPr>
              <w:jc w:val="right"/>
              <w:rPr>
                <w:rFonts w:ascii="Times New Roman" w:eastAsia="Times New Roman" w:hAnsi="Times New Roman" w:cs="Times New Roman"/>
                <w:color w:val="000000"/>
              </w:rPr>
            </w:pPr>
            <w:r w:rsidRPr="00255367">
              <w:rPr>
                <w:rFonts w:ascii="Times New Roman" w:hAnsi="Times New Roman" w:eastAsia="Times New Roman" w:cs="Times New Roman"/>
                <w:color w:val="000000"/>
              </w:rPr>
              <w:t xml:space="preserve"> 139,841 </w:t>
            </w:r>
          </w:p>
        </w:tc>
        <w:tc>
          <w:tcPr>
            <w:tcW w:w="3060" w:type="dxa"/>
            <w:tcBorders>
              <w:top w:val="nil"/>
              <w:left w:val="nil"/>
              <w:bottom w:val="single" w:sz="4" w:space="0" w:color="auto"/>
              <w:right w:val="single" w:sz="4" w:space="0" w:color="auto"/>
            </w:tcBorders>
            <w:shd w:val="clear" w:color="auto" w:fill="auto"/>
            <w:vAlign w:val="bottom"/>
            <w:hideMark/>
          </w:tcPr>
          <w:p w14:paraId="58C1B60B" w:rsidR="00255367" w:rsidRPr="00DC4545" w:rsidRDefault="00255367" w:rsidP="00255367">
            <w:pPr>
              <w:spacing w:after="0" w:line="360" w:lineRule="auto"/>
              <w:jc w:val="center"/>
              <w:rPr>
                <w:rFonts w:ascii="Times New Roman" w:eastAsia="Times New Roman" w:hAnsi="Times New Roman" w:cs="Times New Roman"/>
                <w:color w:val="000000"/>
              </w:rPr>
            </w:pPr>
            <w:r w:rsidRPr="00DC4545">
              <w:rPr>
                <w:rFonts w:ascii="Times New Roman" w:hAnsi="Times New Roman" w:eastAsia="Times New Roman" w:cs="Times New Roman"/>
                <w:color w:val="000000"/>
              </w:rPr>
              <w:t>4.6</w:t>
            </w:r>
          </w:p>
        </w:tc>
      </w:tr>
      <w:tr w14:paraId="2A69D289" w:rsidR="00F165D0" w:rsidRPr="00DC4545" w:rsidTr="00297BAD">
        <w:trPr>
          <w:trHeight w:val="260"/>
          <w:jc w:val="center"/>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53F85C19" w:rsidR="00F165D0" w:rsidRPr="00DC4545" w:rsidRDefault="00F165D0" w:rsidP="0042567A">
            <w:pPr>
              <w:spacing w:after="0" w:line="240" w:lineRule="auto"/>
              <w:rPr>
                <w:rFonts w:ascii="Times New Roman" w:eastAsia="Times New Roman" w:hAnsi="Times New Roman" w:cs="Times New Roman"/>
                <w:b/>
                <w:color w:val="000000"/>
              </w:rPr>
            </w:pPr>
            <w:r w:rsidRPr="00DC4545">
              <w:rPr>
                <w:rFonts w:ascii="Times New Roman" w:hAnsi="Times New Roman" w:eastAsia="Times New Roman" w:cs="Times New Roman"/>
                <w:b/>
                <w:color w:val="000000"/>
              </w:rPr>
              <w:t>TOTAL</w:t>
            </w:r>
          </w:p>
        </w:tc>
        <w:tc>
          <w:tcPr>
            <w:tcW w:w="2885" w:type="dxa"/>
            <w:tcBorders>
              <w:top w:val="nil"/>
              <w:left w:val="nil"/>
              <w:bottom w:val="single" w:sz="4" w:space="0" w:color="auto"/>
              <w:right w:val="single" w:sz="4" w:space="0" w:color="auto"/>
            </w:tcBorders>
            <w:shd w:val="clear" w:color="auto" w:fill="auto"/>
            <w:vAlign w:val="center"/>
            <w:hideMark/>
          </w:tcPr>
          <w:p w14:paraId="57690DED" w:rsidR="00F165D0" w:rsidRPr="00DC4545" w:rsidRDefault="00F165D0" w:rsidP="00297BAD">
            <w:pPr>
              <w:spacing w:after="0" w:line="240" w:lineRule="auto"/>
              <w:jc w:val="right"/>
              <w:rPr>
                <w:rFonts w:ascii="Times New Roman" w:eastAsia="Times New Roman" w:hAnsi="Times New Roman" w:cs="Times New Roman"/>
                <w:b/>
                <w:color w:val="000000"/>
              </w:rPr>
            </w:pPr>
            <w:r w:rsidRPr="00DC4545">
              <w:rPr>
                <w:rFonts w:ascii="Times New Roman" w:hAnsi="Times New Roman" w:eastAsia="Times New Roman" w:cs="Times New Roman"/>
                <w:b/>
                <w:color w:val="000000"/>
              </w:rPr>
              <w:t>3,031,666</w:t>
            </w:r>
          </w:p>
        </w:tc>
        <w:tc>
          <w:tcPr>
            <w:tcW w:w="3060" w:type="dxa"/>
            <w:tcBorders>
              <w:top w:val="nil"/>
              <w:left w:val="nil"/>
              <w:bottom w:val="single" w:sz="4" w:space="0" w:color="auto"/>
              <w:right w:val="single" w:sz="4" w:space="0" w:color="auto"/>
            </w:tcBorders>
            <w:shd w:val="clear" w:color="auto" w:fill="auto"/>
            <w:vAlign w:val="bottom"/>
            <w:hideMark/>
          </w:tcPr>
          <w:p w14:paraId="21FAC6B6" w:rsidR="00F165D0" w:rsidRPr="00DC4545" w:rsidRDefault="00F165D0" w:rsidP="00255367">
            <w:pPr>
              <w:spacing w:after="0" w:line="240" w:lineRule="auto"/>
              <w:jc w:val="center"/>
              <w:rPr>
                <w:rFonts w:ascii="Times New Roman" w:eastAsia="Times New Roman" w:hAnsi="Times New Roman" w:cs="Times New Roman"/>
                <w:b/>
                <w:color w:val="000000"/>
              </w:rPr>
            </w:pPr>
            <w:r w:rsidRPr="00DC4545">
              <w:rPr>
                <w:rFonts w:ascii="Times New Roman" w:hAnsi="Times New Roman" w:eastAsia="Times New Roman" w:cs="Times New Roman"/>
                <w:b/>
                <w:color w:val="000000"/>
              </w:rPr>
              <w:t>100</w:t>
            </w:r>
          </w:p>
        </w:tc>
      </w:tr>
    </w:tbl>
    <w:p w14:paraId="7F2B81A3" w:rsidR="00255367" w:rsidRDefault="00255367" w:rsidP="00F165D0">
      <w:pPr>
        <w:rPr>
          <w:rFonts w:ascii="Times New Roman" w:hAnsi="Times New Roman" w:cs="Times New Roman"/>
          <w:highlight w:val="yellow"/>
        </w:rPr>
      </w:pPr>
    </w:p>
    <w:p w14:paraId="11B8EBCE" w:rsidR="00255367" w:rsidRDefault="00255367" w:rsidP="00F165D0">
      <w:pPr>
        <w:rPr>
          <w:rFonts w:ascii="Times New Roman" w:hAnsi="Times New Roman" w:cs="Times New Roman"/>
          <w:highlight w:val="yellow"/>
        </w:rPr>
      </w:pPr>
    </w:p>
    <w:p w14:paraId="38CB9FC8" w:rsidR="00F165D0" w:rsidRDefault="00180208" w:rsidP="00F165D0">
      <w:pPr>
        <w:rPr>
          <w:rFonts w:ascii="Times New Roman" w:hAnsi="Times New Roman" w:cs="Times New Roman"/>
        </w:rPr>
      </w:pPr>
      <w:r w:rsidRPr="00297BAD">
        <w:rPr>
          <w:rFonts w:ascii="Times New Roman" w:hAnsi="Times New Roman" w:cs="Times New Roman"/>
        </w:rPr>
        <w:t>Budget Notes:</w:t>
      </w:r>
    </w:p>
    <w:tbl>
      <w:tblPr>
        <w:tblW w:w="14485" w:type="dxa"/>
        <w:tblInd w:w="55" w:type="dxa"/>
        <w:tblCellMar>
          <w:left w:w="70" w:type="dxa"/>
          <w:right w:w="70" w:type="dxa"/>
        </w:tblCellMar>
        <w:tblLook w:val="04A0" w:firstRow="1" w:lastRow="0" w:firstColumn="1" w:lastColumn="0" w:noHBand="0" w:noVBand="1"/>
      </w:tblPr>
      <w:tblGrid>
        <w:gridCol w:w="850"/>
        <w:gridCol w:w="1008"/>
        <w:gridCol w:w="9996"/>
        <w:gridCol w:w="2631"/>
      </w:tblGrid>
      <w:tr w14:paraId="05523D7F" w:rsidR="00FF202D" w:rsidRPr="00FF202D" w:rsidTr="00FF202D">
        <w:trPr>
          <w:trHeight w:val="300"/>
        </w:trPr>
        <w:tc>
          <w:tcPr>
            <w:tcW w:w="14485" w:type="dxa"/>
            <w:gridSpan w:val="4"/>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1C0E2D5C" w:rsidR="00FF202D" w:rsidRPr="00FF202D" w:rsidRDefault="00FF202D" w:rsidP="00FF202D">
            <w:pPr>
              <w:spacing w:after="0" w:line="240" w:lineRule="auto"/>
              <w:jc w:val="center"/>
              <w:rPr>
                <w:rFonts w:ascii="Times New Roman" w:eastAsia="Times New Roman" w:hAnsi="Times New Roman" w:cs="Times New Roman"/>
                <w:b/>
                <w:bCs/>
                <w:color w:val="000000"/>
                <w:lang w:eastAsia="es-MX"/>
              </w:rPr>
            </w:pPr>
            <w:r w:rsidRPr="00FF202D">
              <w:rPr>
                <w:rFonts w:ascii="Times New Roman" w:hAnsi="Times New Roman" w:eastAsia="Times New Roman" w:cs="Times New Roman"/>
                <w:b/>
                <w:bCs/>
                <w:color w:val="000000"/>
                <w:lang w:eastAsia="es-MX"/>
              </w:rPr>
              <w:t>1. Establishment and effective Management of new and existing Protected Areas</w:t>
            </w:r>
          </w:p>
        </w:tc>
      </w:tr>
      <w:tr w14:paraId="5FADB273" w:rsidR="00FF202D" w:rsidRPr="00FF202D" w:rsidTr="00FF202D">
        <w:trPr>
          <w:trHeight w:val="3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524F04DF"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Budget Note</w:t>
            </w:r>
          </w:p>
        </w:tc>
        <w:tc>
          <w:tcPr>
            <w:tcW w:w="1008" w:type="dxa"/>
            <w:tcBorders>
              <w:top w:val="nil"/>
              <w:left w:val="nil"/>
              <w:bottom w:val="single" w:sz="4" w:space="0" w:color="auto"/>
              <w:right w:val="single" w:sz="4" w:space="0" w:color="auto"/>
            </w:tcBorders>
            <w:shd w:val="clear" w:color="000000" w:fill="DAEEF3"/>
            <w:noWrap/>
            <w:vAlign w:val="center"/>
            <w:hideMark/>
          </w:tcPr>
          <w:p w14:paraId="4C8EDEAD"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Atlas Code</w:t>
            </w:r>
          </w:p>
        </w:tc>
        <w:tc>
          <w:tcPr>
            <w:tcW w:w="9996" w:type="dxa"/>
            <w:tcBorders>
              <w:top w:val="nil"/>
              <w:left w:val="nil"/>
              <w:bottom w:val="single" w:sz="4" w:space="0" w:color="auto"/>
              <w:right w:val="single" w:sz="4" w:space="0" w:color="auto"/>
            </w:tcBorders>
            <w:shd w:val="clear" w:color="000000" w:fill="DAEEF3"/>
            <w:noWrap/>
            <w:vAlign w:val="center"/>
            <w:hideMark/>
          </w:tcPr>
          <w:p w14:paraId="62415B23"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Description</w:t>
            </w:r>
          </w:p>
        </w:tc>
        <w:tc>
          <w:tcPr>
            <w:tcW w:w="2631" w:type="dxa"/>
            <w:tcBorders>
              <w:top w:val="nil"/>
              <w:left w:val="nil"/>
              <w:bottom w:val="single" w:sz="4" w:space="0" w:color="auto"/>
              <w:right w:val="single" w:sz="4" w:space="0" w:color="auto"/>
            </w:tcBorders>
            <w:shd w:val="clear" w:color="000000" w:fill="DAEEF3"/>
            <w:noWrap/>
            <w:vAlign w:val="center"/>
            <w:hideMark/>
          </w:tcPr>
          <w:p w14:paraId="3F2077B6"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Amount</w:t>
            </w:r>
          </w:p>
        </w:tc>
      </w:tr>
      <w:tr w14:paraId="722CDECD" w:rsidR="00FF202D" w:rsidRPr="00FF202D" w:rsidTr="00EE3DAD">
        <w:trPr>
          <w:trHeight w:val="3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761B4D42"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1</w:t>
            </w:r>
          </w:p>
        </w:tc>
        <w:tc>
          <w:tcPr>
            <w:tcW w:w="1008" w:type="dxa"/>
            <w:tcBorders>
              <w:top w:val="nil"/>
              <w:left w:val="nil"/>
              <w:bottom w:val="single" w:sz="4" w:space="0" w:color="auto"/>
              <w:right w:val="single" w:sz="4" w:space="0" w:color="auto"/>
            </w:tcBorders>
            <w:shd w:val="clear" w:color="000000" w:fill="DAEEF3"/>
            <w:noWrap/>
            <w:vAlign w:val="center"/>
            <w:hideMark/>
          </w:tcPr>
          <w:p w14:paraId="1B1420D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71200</w:t>
            </w:r>
          </w:p>
        </w:tc>
        <w:tc>
          <w:tcPr>
            <w:tcW w:w="9996" w:type="dxa"/>
            <w:tcBorders>
              <w:top w:val="nil"/>
              <w:left w:val="nil"/>
              <w:bottom w:val="single" w:sz="4" w:space="0" w:color="auto"/>
              <w:right w:val="single" w:sz="4" w:space="0" w:color="auto"/>
            </w:tcBorders>
            <w:shd w:val="clear" w:color="000000" w:fill="DAEEF3"/>
            <w:noWrap/>
            <w:vAlign w:val="center"/>
            <w:hideMark/>
          </w:tcPr>
          <w:p w14:paraId="0966C9DC"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International Land policy expert: Development of a potentially replicable co-management framework for incorporating private landowners into an area plan (Mt. St. Catherine) and reengagement and mobilization of Mt. St. Catherine land owning community. </w:t>
            </w:r>
            <w:r w:rsidRPr="00FF202D">
              <w:rPr>
                <w:rFonts w:ascii="Times New Roman" w:hAnsi="Times New Roman" w:eastAsia="Times New Roman" w:cs="Times New Roman"/>
                <w:lang w:val="es-MX" w:eastAsia="es-MX"/>
              </w:rPr>
              <w:t xml:space="preserve">Total cost: $26,500. </w:t>
            </w:r>
          </w:p>
        </w:tc>
        <w:tc>
          <w:tcPr>
            <w:tcW w:w="2631" w:type="dxa"/>
            <w:tcBorders>
              <w:top w:val="nil"/>
              <w:left w:val="nil"/>
              <w:bottom w:val="single" w:sz="4" w:space="0" w:color="auto"/>
              <w:right w:val="single" w:sz="4" w:space="0" w:color="auto"/>
            </w:tcBorders>
            <w:shd w:val="clear" w:color="000000" w:fill="DAEEF3"/>
            <w:noWrap/>
            <w:vAlign w:val="center"/>
            <w:hideMark/>
          </w:tcPr>
          <w:p w14:paraId="333ECED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26,500 </w:t>
            </w:r>
          </w:p>
        </w:tc>
      </w:tr>
      <w:tr w14:paraId="2E5C9B8D" w:rsidR="00FF202D" w:rsidRPr="00FF202D" w:rsidTr="00EE3DAD">
        <w:trPr>
          <w:trHeight w:val="300"/>
        </w:trPr>
        <w:tc>
          <w:tcPr>
            <w:tcW w:w="850" w:type="dxa"/>
            <w:vMerge w:val="restart"/>
            <w:tcBorders>
              <w:top w:val="nil"/>
              <w:left w:val="single" w:sz="4" w:space="0" w:color="auto"/>
              <w:bottom w:val="nil"/>
              <w:right w:val="single" w:sz="4" w:space="0" w:color="auto"/>
            </w:tcBorders>
            <w:shd w:val="clear" w:color="000000" w:fill="DAEEF3"/>
            <w:noWrap/>
            <w:vAlign w:val="center"/>
            <w:hideMark/>
          </w:tcPr>
          <w:p w14:paraId="2AC35AC8"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2</w:t>
            </w:r>
          </w:p>
        </w:tc>
        <w:tc>
          <w:tcPr>
            <w:tcW w:w="1008" w:type="dxa"/>
            <w:tcBorders>
              <w:top w:val="nil"/>
              <w:left w:val="nil"/>
              <w:bottom w:val="single" w:sz="4" w:space="0" w:color="auto"/>
              <w:right w:val="single" w:sz="4" w:space="0" w:color="auto"/>
            </w:tcBorders>
            <w:shd w:val="clear" w:color="000000" w:fill="DAEEF3"/>
            <w:noWrap/>
            <w:vAlign w:val="center"/>
            <w:hideMark/>
          </w:tcPr>
          <w:p w14:paraId="30A09D1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6E191DE8"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Land management/SLM/SFM Expert: Development of a Landscape Management plan for the Mt. St. Catherine Site in tandem with the co-management plan prepared by the Land policy expert. </w:t>
            </w:r>
            <w:r w:rsidRPr="00FF202D">
              <w:rPr>
                <w:rFonts w:ascii="Times New Roman" w:hAnsi="Times New Roman" w:eastAsia="Times New Roman" w:cs="Times New Roman"/>
                <w:lang w:val="es-MX" w:eastAsia="es-MX"/>
              </w:rPr>
              <w:t>Total cost $18,249.</w:t>
            </w:r>
          </w:p>
        </w:tc>
        <w:tc>
          <w:tcPr>
            <w:tcW w:w="2631" w:type="dxa"/>
            <w:tcBorders>
              <w:top w:val="nil"/>
              <w:left w:val="nil"/>
              <w:bottom w:val="single" w:sz="4" w:space="0" w:color="auto"/>
              <w:right w:val="single" w:sz="4" w:space="0" w:color="auto"/>
            </w:tcBorders>
            <w:shd w:val="clear" w:color="000000" w:fill="DAEEF3"/>
            <w:noWrap/>
            <w:vAlign w:val="center"/>
            <w:hideMark/>
          </w:tcPr>
          <w:p w14:paraId="693C629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18,249 </w:t>
            </w:r>
          </w:p>
        </w:tc>
      </w:tr>
      <w:tr w14:paraId="1D06213A"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50CD0894"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5380B4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118765E0"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Heritage and Natural Resource consultant: Technical support for development and management of PAs as conservation/visitor sites; Total $20,000.</w:t>
            </w:r>
          </w:p>
        </w:tc>
        <w:tc>
          <w:tcPr>
            <w:tcW w:w="2631" w:type="dxa"/>
            <w:tcBorders>
              <w:top w:val="nil"/>
              <w:left w:val="nil"/>
              <w:bottom w:val="single" w:sz="4" w:space="0" w:color="auto"/>
              <w:right w:val="single" w:sz="4" w:space="0" w:color="auto"/>
            </w:tcBorders>
            <w:shd w:val="clear" w:color="000000" w:fill="DAEEF3"/>
            <w:noWrap/>
            <w:vAlign w:val="center"/>
            <w:hideMark/>
          </w:tcPr>
          <w:p w14:paraId="7C76610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20,000 </w:t>
            </w:r>
          </w:p>
        </w:tc>
      </w:tr>
      <w:tr w14:paraId="544A7D20"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56E21ADF"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DF91F6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799AE68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for business planning in sites ($20,000) and community-based consultations ($800): $20,800.</w:t>
            </w:r>
          </w:p>
        </w:tc>
        <w:tc>
          <w:tcPr>
            <w:tcW w:w="2631" w:type="dxa"/>
            <w:tcBorders>
              <w:top w:val="nil"/>
              <w:left w:val="nil"/>
              <w:bottom w:val="single" w:sz="4" w:space="0" w:color="auto"/>
              <w:right w:val="single" w:sz="4" w:space="0" w:color="auto"/>
            </w:tcBorders>
            <w:shd w:val="clear" w:color="000000" w:fill="DAEEF3"/>
            <w:noWrap/>
            <w:vAlign w:val="center"/>
            <w:hideMark/>
          </w:tcPr>
          <w:p w14:paraId="74E98464"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20,800 </w:t>
            </w:r>
          </w:p>
        </w:tc>
      </w:tr>
      <w:tr w14:paraId="0D5EB868"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611E0797"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FDC2DD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1E53EA7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Consultant in charge of:</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 xml:space="preserve">a. Training for </w:t>
            </w:r>
            <w:r w:rsidRPr="00FF202D">
              <w:rPr>
                <w:rFonts w:ascii="Times New Roman" w:hAnsi="Times New Roman" w:eastAsia="Times New Roman" w:cs="Times New Roman"/>
                <w:b/>
                <w:bCs/>
                <w:lang w:eastAsia="es-MX"/>
              </w:rPr>
              <w:t>NPAC:</w:t>
            </w:r>
            <w:r w:rsidRPr="00FF202D">
              <w:rPr>
                <w:rFonts w:ascii="Times New Roman" w:hAnsi="Times New Roman" w:eastAsia="Times New Roman" w:cs="Times New Roman"/>
                <w:lang w:eastAsia="es-MX"/>
              </w:rPr>
              <w:t xml:space="preserve">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Public education program: $39,000.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c. Equipping NPAC and NMPAC for strategic management: $8,000.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val="es-MX" w:eastAsia="es-MX"/>
              </w:rPr>
              <w:t>Total cost: $52,000.</w:t>
            </w:r>
          </w:p>
        </w:tc>
        <w:tc>
          <w:tcPr>
            <w:tcW w:w="2631" w:type="dxa"/>
            <w:tcBorders>
              <w:top w:val="nil"/>
              <w:left w:val="nil"/>
              <w:bottom w:val="single" w:sz="4" w:space="0" w:color="auto"/>
              <w:right w:val="single" w:sz="4" w:space="0" w:color="auto"/>
            </w:tcBorders>
            <w:shd w:val="clear" w:color="000000" w:fill="DAEEF3"/>
            <w:noWrap/>
            <w:vAlign w:val="center"/>
            <w:hideMark/>
          </w:tcPr>
          <w:p w14:paraId="3DAD146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52,000 </w:t>
            </w:r>
          </w:p>
        </w:tc>
      </w:tr>
      <w:tr w14:paraId="4AE2EFD0"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5171050A"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3B30B79D"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1DDE60C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Consultant/Development Specialist in charge of:</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Detailed planning for infrastructure etc. :$73,000.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Designing building plan WCCBMPA :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c. Site design: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val="es-MX" w:eastAsia="es-MX"/>
              </w:rPr>
              <w:t>Total cost: $83,000.</w:t>
            </w:r>
          </w:p>
        </w:tc>
        <w:tc>
          <w:tcPr>
            <w:tcW w:w="2631" w:type="dxa"/>
            <w:tcBorders>
              <w:top w:val="nil"/>
              <w:left w:val="nil"/>
              <w:bottom w:val="single" w:sz="4" w:space="0" w:color="auto"/>
              <w:right w:val="single" w:sz="4" w:space="0" w:color="auto"/>
            </w:tcBorders>
            <w:shd w:val="clear" w:color="000000" w:fill="DAEEF3"/>
            <w:noWrap/>
            <w:vAlign w:val="center"/>
            <w:hideMark/>
          </w:tcPr>
          <w:p w14:paraId="5F74B8F8"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83,000 </w:t>
            </w:r>
          </w:p>
        </w:tc>
      </w:tr>
      <w:tr w14:paraId="3464E03E"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14507F44"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43C7ABD4"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26A3D3D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Professional services for MPA plan and mapping for Grand Anse and South – East Zone ($15,000) and White Island management planning ($10,000). </w:t>
            </w:r>
            <w:r w:rsidRPr="00FF202D">
              <w:rPr>
                <w:rFonts w:ascii="Times New Roman" w:hAnsi="Times New Roman" w:eastAsia="Times New Roman" w:cs="Times New Roman"/>
                <w:lang w:val="es-MX" w:eastAsia="es-MX"/>
              </w:rPr>
              <w:t>Total cost: $25,000.</w:t>
            </w:r>
          </w:p>
        </w:tc>
        <w:tc>
          <w:tcPr>
            <w:tcW w:w="2631" w:type="dxa"/>
            <w:tcBorders>
              <w:top w:val="nil"/>
              <w:left w:val="nil"/>
              <w:bottom w:val="single" w:sz="4" w:space="0" w:color="auto"/>
              <w:right w:val="single" w:sz="4" w:space="0" w:color="auto"/>
            </w:tcBorders>
            <w:shd w:val="clear" w:color="000000" w:fill="DAEEF3"/>
            <w:noWrap/>
            <w:vAlign w:val="center"/>
            <w:hideMark/>
          </w:tcPr>
          <w:p w14:paraId="1FA7BC56"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25,000 </w:t>
            </w:r>
          </w:p>
        </w:tc>
      </w:tr>
      <w:tr w14:paraId="2047437E"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352381CE"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4797B77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4A931BCD"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Professional services for:</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Reef restoration initiative : $26,000.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Public education (marine) $10,000.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c. Training in methodologies/ techniques: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val="es-MX" w:eastAsia="es-MX"/>
              </w:rPr>
              <w:t>Total cost: $41,000.</w:t>
            </w:r>
          </w:p>
        </w:tc>
        <w:tc>
          <w:tcPr>
            <w:tcW w:w="2631" w:type="dxa"/>
            <w:tcBorders>
              <w:top w:val="nil"/>
              <w:left w:val="nil"/>
              <w:bottom w:val="single" w:sz="4" w:space="0" w:color="auto"/>
              <w:right w:val="single" w:sz="4" w:space="0" w:color="auto"/>
            </w:tcBorders>
            <w:shd w:val="clear" w:color="000000" w:fill="DAEEF3"/>
            <w:noWrap/>
            <w:vAlign w:val="center"/>
            <w:hideMark/>
          </w:tcPr>
          <w:p w14:paraId="7C784A9D"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41,000 </w:t>
            </w:r>
          </w:p>
        </w:tc>
      </w:tr>
      <w:tr w14:paraId="2DFE5B43"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79C9356A"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5DF3E3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DAEEF3"/>
            <w:noWrap/>
            <w:vAlign w:val="center"/>
            <w:hideMark/>
          </w:tcPr>
          <w:p w14:paraId="6E2CAB5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Professional services to link livelihood to INRM practices: $9,000</w:t>
            </w:r>
          </w:p>
        </w:tc>
        <w:tc>
          <w:tcPr>
            <w:tcW w:w="2631" w:type="dxa"/>
            <w:tcBorders>
              <w:top w:val="nil"/>
              <w:left w:val="nil"/>
              <w:bottom w:val="single" w:sz="4" w:space="0" w:color="auto"/>
              <w:right w:val="single" w:sz="4" w:space="0" w:color="auto"/>
            </w:tcBorders>
            <w:shd w:val="clear" w:color="000000" w:fill="DAEEF3"/>
            <w:noWrap/>
            <w:vAlign w:val="center"/>
            <w:hideMark/>
          </w:tcPr>
          <w:p w14:paraId="04F4A57C"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9,000 </w:t>
            </w:r>
          </w:p>
        </w:tc>
      </w:tr>
      <w:tr w14:paraId="2E5E790F" w:rsidR="00FF202D" w:rsidRPr="00FF202D" w:rsidTr="00EE3DAD">
        <w:trPr>
          <w:trHeight w:val="300"/>
        </w:trPr>
        <w:tc>
          <w:tcPr>
            <w:tcW w:w="85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1C80E08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w:t>
            </w:r>
          </w:p>
        </w:tc>
        <w:tc>
          <w:tcPr>
            <w:tcW w:w="1008" w:type="dxa"/>
            <w:tcBorders>
              <w:top w:val="nil"/>
              <w:left w:val="nil"/>
              <w:bottom w:val="single" w:sz="4" w:space="0" w:color="auto"/>
              <w:right w:val="single" w:sz="4" w:space="0" w:color="auto"/>
            </w:tcBorders>
            <w:shd w:val="clear" w:color="000000" w:fill="DAEEF3"/>
            <w:noWrap/>
            <w:vAlign w:val="center"/>
            <w:hideMark/>
          </w:tcPr>
          <w:p w14:paraId="274439E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71400</w:t>
            </w:r>
          </w:p>
        </w:tc>
        <w:tc>
          <w:tcPr>
            <w:tcW w:w="9996" w:type="dxa"/>
            <w:tcBorders>
              <w:top w:val="nil"/>
              <w:left w:val="nil"/>
              <w:bottom w:val="single" w:sz="4" w:space="0" w:color="auto"/>
              <w:right w:val="single" w:sz="4" w:space="0" w:color="auto"/>
            </w:tcBorders>
            <w:shd w:val="clear" w:color="000000" w:fill="DAEEF3"/>
            <w:noWrap/>
            <w:vAlign w:val="center"/>
            <w:hideMark/>
          </w:tcPr>
          <w:p w14:paraId="08DBDC7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Project Coordinator (technical inputs corresponding to $124,160 or 90% of the incumbent's time).</w:t>
            </w:r>
          </w:p>
        </w:tc>
        <w:tc>
          <w:tcPr>
            <w:tcW w:w="2631" w:type="dxa"/>
            <w:tcBorders>
              <w:top w:val="nil"/>
              <w:left w:val="nil"/>
              <w:bottom w:val="single" w:sz="4" w:space="0" w:color="auto"/>
              <w:right w:val="single" w:sz="4" w:space="0" w:color="auto"/>
            </w:tcBorders>
            <w:shd w:val="clear" w:color="000000" w:fill="DAEEF3"/>
            <w:noWrap/>
            <w:vAlign w:val="center"/>
            <w:hideMark/>
          </w:tcPr>
          <w:p w14:paraId="47C3B03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124,160 </w:t>
            </w:r>
          </w:p>
        </w:tc>
      </w:tr>
      <w:tr w14:paraId="08CB9794" w:rsidR="00FF202D" w:rsidRPr="00FF202D" w:rsidTr="00EE3DAD">
        <w:trPr>
          <w:trHeight w:val="48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4455E57C"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4</w:t>
            </w:r>
          </w:p>
        </w:tc>
        <w:tc>
          <w:tcPr>
            <w:tcW w:w="1008" w:type="dxa"/>
            <w:tcBorders>
              <w:top w:val="nil"/>
              <w:left w:val="nil"/>
              <w:bottom w:val="single" w:sz="4" w:space="0" w:color="auto"/>
              <w:right w:val="single" w:sz="4" w:space="0" w:color="auto"/>
            </w:tcBorders>
            <w:shd w:val="clear" w:color="000000" w:fill="DAEEF3"/>
            <w:noWrap/>
            <w:vAlign w:val="center"/>
            <w:hideMark/>
          </w:tcPr>
          <w:p w14:paraId="52F3F82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DAEEF3"/>
            <w:noWrap/>
            <w:vAlign w:val="center"/>
            <w:hideMark/>
          </w:tcPr>
          <w:p w14:paraId="6D57D6BE"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Support for airfare / per client for trainer to Carriacou: $405. </w:t>
            </w:r>
            <w:r w:rsidRPr="00FF202D">
              <w:rPr>
                <w:rFonts w:ascii="Times New Roman" w:hAnsi="Times New Roman" w:eastAsia="Times New Roman" w:cs="Times New Roman"/>
                <w:lang w:val="es-MX" w:eastAsia="es-MX"/>
              </w:rPr>
              <w:t>Total estimated cost: $7,405.</w:t>
            </w:r>
          </w:p>
        </w:tc>
        <w:tc>
          <w:tcPr>
            <w:tcW w:w="2631" w:type="dxa"/>
            <w:tcBorders>
              <w:top w:val="nil"/>
              <w:left w:val="nil"/>
              <w:bottom w:val="single" w:sz="4" w:space="0" w:color="auto"/>
              <w:right w:val="single" w:sz="4" w:space="0" w:color="auto"/>
            </w:tcBorders>
            <w:shd w:val="clear" w:color="000000" w:fill="DAEEF3"/>
            <w:noWrap/>
            <w:vAlign w:val="center"/>
            <w:hideMark/>
          </w:tcPr>
          <w:p w14:paraId="31C1BF4E"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7,405 </w:t>
            </w:r>
          </w:p>
        </w:tc>
      </w:tr>
      <w:tr w14:paraId="110ED736" w:rsidR="00FF202D" w:rsidRPr="00FF202D" w:rsidTr="00EE3DAD">
        <w:trPr>
          <w:trHeight w:val="300"/>
        </w:trPr>
        <w:tc>
          <w:tcPr>
            <w:tcW w:w="850" w:type="dxa"/>
            <w:vMerge w:val="restart"/>
            <w:tcBorders>
              <w:top w:val="nil"/>
              <w:left w:val="single" w:sz="4" w:space="0" w:color="auto"/>
              <w:bottom w:val="nil"/>
              <w:right w:val="single" w:sz="4" w:space="0" w:color="auto"/>
            </w:tcBorders>
            <w:shd w:val="clear" w:color="000000" w:fill="DAEEF3"/>
            <w:noWrap/>
            <w:vAlign w:val="center"/>
            <w:hideMark/>
          </w:tcPr>
          <w:p w14:paraId="663F1F64"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5</w:t>
            </w:r>
          </w:p>
        </w:tc>
        <w:tc>
          <w:tcPr>
            <w:tcW w:w="1008" w:type="dxa"/>
            <w:tcBorders>
              <w:top w:val="nil"/>
              <w:left w:val="nil"/>
              <w:bottom w:val="single" w:sz="4" w:space="0" w:color="auto"/>
              <w:right w:val="single" w:sz="4" w:space="0" w:color="auto"/>
            </w:tcBorders>
            <w:shd w:val="clear" w:color="000000" w:fill="DAEEF3"/>
            <w:noWrap/>
            <w:vAlign w:val="center"/>
            <w:hideMark/>
          </w:tcPr>
          <w:p w14:paraId="7CC03664"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DAEEF3"/>
            <w:noWrap/>
            <w:vAlign w:val="center"/>
            <w:hideMark/>
          </w:tcPr>
          <w:p w14:paraId="4BB9B57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Professional services – Training (practical) for Juniors STAFF and community partners in Forest/ Land Management applications :$60,000</w:t>
            </w:r>
          </w:p>
        </w:tc>
        <w:tc>
          <w:tcPr>
            <w:tcW w:w="2631" w:type="dxa"/>
            <w:tcBorders>
              <w:top w:val="nil"/>
              <w:left w:val="nil"/>
              <w:bottom w:val="single" w:sz="4" w:space="0" w:color="auto"/>
              <w:right w:val="single" w:sz="4" w:space="0" w:color="auto"/>
            </w:tcBorders>
            <w:shd w:val="clear" w:color="000000" w:fill="DAEEF3"/>
            <w:noWrap/>
            <w:vAlign w:val="center"/>
            <w:hideMark/>
          </w:tcPr>
          <w:p w14:paraId="685BDEFF"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60,000 </w:t>
            </w:r>
          </w:p>
        </w:tc>
      </w:tr>
      <w:tr w14:paraId="5CEB9682" w:rsidR="00FF202D" w:rsidRPr="00FF202D" w:rsidTr="00EE3DAD">
        <w:trPr>
          <w:trHeight w:val="300"/>
        </w:trPr>
        <w:tc>
          <w:tcPr>
            <w:tcW w:w="850" w:type="dxa"/>
            <w:vMerge/>
            <w:tcBorders>
              <w:top w:val="nil"/>
              <w:left w:val="single" w:sz="4" w:space="0" w:color="auto"/>
              <w:bottom w:val="nil"/>
              <w:right w:val="single" w:sz="4" w:space="0" w:color="auto"/>
            </w:tcBorders>
            <w:vAlign w:val="center"/>
            <w:hideMark/>
          </w:tcPr>
          <w:p w14:paraId="6F92A32A"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12C23C5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DAEEF3"/>
            <w:noWrap/>
            <w:vAlign w:val="center"/>
            <w:hideMark/>
          </w:tcPr>
          <w:p w14:paraId="0EA464F0"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Professional services including:</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Educator/Mobilizer for adoption of BMP: $10,000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5 Livelihood promotion specialists for demonstrating the link between livelihood opportunities and SLM/ SFM. Livelihood development experts: $75,000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c. Professional services- Aquaculture options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d. Professional services- methodologies of engagements:$3,000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e. Specialist services- methods of community engagements: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f. Livelihoods activities at TPA sites: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$103,000</w:t>
            </w:r>
          </w:p>
        </w:tc>
        <w:tc>
          <w:tcPr>
            <w:tcW w:w="2631" w:type="dxa"/>
            <w:tcBorders>
              <w:top w:val="nil"/>
              <w:left w:val="nil"/>
              <w:bottom w:val="single" w:sz="4" w:space="0" w:color="auto"/>
              <w:right w:val="single" w:sz="4" w:space="0" w:color="auto"/>
            </w:tcBorders>
            <w:shd w:val="clear" w:color="000000" w:fill="DAEEF3"/>
            <w:noWrap/>
            <w:vAlign w:val="center"/>
            <w:hideMark/>
          </w:tcPr>
          <w:p w14:paraId="34D78252"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103,000 </w:t>
            </w:r>
          </w:p>
        </w:tc>
      </w:tr>
      <w:tr w14:paraId="08B5A1F6" w:rsidR="00FF202D" w:rsidRPr="00FF202D" w:rsidTr="00EE3DAD">
        <w:trPr>
          <w:trHeight w:val="416"/>
        </w:trPr>
        <w:tc>
          <w:tcPr>
            <w:tcW w:w="850" w:type="dxa"/>
            <w:vMerge/>
            <w:tcBorders>
              <w:top w:val="nil"/>
              <w:left w:val="single" w:sz="4" w:space="0" w:color="auto"/>
              <w:bottom w:val="nil"/>
              <w:right w:val="single" w:sz="4" w:space="0" w:color="auto"/>
            </w:tcBorders>
            <w:vAlign w:val="center"/>
            <w:hideMark/>
          </w:tcPr>
          <w:p w14:paraId="0D055CC0"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4E94377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DAEEF3"/>
            <w:noWrap/>
            <w:vAlign w:val="center"/>
            <w:hideMark/>
          </w:tcPr>
          <w:p w14:paraId="71DFA989"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Professional services for site/ Building design $15,000</w:t>
            </w:r>
          </w:p>
        </w:tc>
        <w:tc>
          <w:tcPr>
            <w:tcW w:w="2631" w:type="dxa"/>
            <w:tcBorders>
              <w:top w:val="nil"/>
              <w:left w:val="nil"/>
              <w:bottom w:val="single" w:sz="4" w:space="0" w:color="auto"/>
              <w:right w:val="single" w:sz="4" w:space="0" w:color="auto"/>
            </w:tcBorders>
            <w:shd w:val="clear" w:color="000000" w:fill="DAEEF3"/>
            <w:noWrap/>
            <w:vAlign w:val="center"/>
            <w:hideMark/>
          </w:tcPr>
          <w:p w14:paraId="5C2F1D8C"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15,000 </w:t>
            </w:r>
          </w:p>
        </w:tc>
      </w:tr>
      <w:tr w14:paraId="1F26FB52" w:rsidR="00FF202D" w:rsidRPr="00FF202D" w:rsidTr="00EE3DAD">
        <w:trPr>
          <w:trHeight w:val="549"/>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0F4A636D"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6</w:t>
            </w:r>
          </w:p>
        </w:tc>
        <w:tc>
          <w:tcPr>
            <w:tcW w:w="1008" w:type="dxa"/>
            <w:tcBorders>
              <w:top w:val="nil"/>
              <w:left w:val="nil"/>
              <w:bottom w:val="single" w:sz="4" w:space="0" w:color="auto"/>
              <w:right w:val="single" w:sz="4" w:space="0" w:color="auto"/>
            </w:tcBorders>
            <w:shd w:val="clear" w:color="000000" w:fill="DAEEF3"/>
            <w:noWrap/>
            <w:vAlign w:val="center"/>
            <w:hideMark/>
          </w:tcPr>
          <w:p w14:paraId="4366039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7D229BE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Back-packs for community first responders, wild land fires :$10,000</w:t>
            </w:r>
          </w:p>
        </w:tc>
        <w:tc>
          <w:tcPr>
            <w:tcW w:w="2631" w:type="dxa"/>
            <w:tcBorders>
              <w:top w:val="nil"/>
              <w:left w:val="nil"/>
              <w:bottom w:val="single" w:sz="4" w:space="0" w:color="auto"/>
              <w:right w:val="single" w:sz="4" w:space="0" w:color="auto"/>
            </w:tcBorders>
            <w:shd w:val="clear" w:color="000000" w:fill="DAEEF3"/>
            <w:noWrap/>
            <w:vAlign w:val="center"/>
            <w:hideMark/>
          </w:tcPr>
          <w:p w14:paraId="46EB292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10,000 </w:t>
            </w:r>
          </w:p>
        </w:tc>
      </w:tr>
      <w:tr w14:paraId="139582FD" w:rsidR="00FF202D" w:rsidRPr="00FF202D" w:rsidTr="00EE3DAD">
        <w:trPr>
          <w:trHeight w:val="432"/>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7B3EC966"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21AF828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195F44F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Biophysical monitoring, fire prevention; planning: $10,000</w:t>
            </w:r>
          </w:p>
        </w:tc>
        <w:tc>
          <w:tcPr>
            <w:tcW w:w="2631" w:type="dxa"/>
            <w:tcBorders>
              <w:top w:val="nil"/>
              <w:left w:val="nil"/>
              <w:bottom w:val="single" w:sz="4" w:space="0" w:color="auto"/>
              <w:right w:val="single" w:sz="4" w:space="0" w:color="auto"/>
            </w:tcBorders>
            <w:shd w:val="clear" w:color="000000" w:fill="DAEEF3"/>
            <w:noWrap/>
            <w:vAlign w:val="center"/>
            <w:hideMark/>
          </w:tcPr>
          <w:p w14:paraId="0F4E9B5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10,000 </w:t>
            </w:r>
          </w:p>
        </w:tc>
      </w:tr>
      <w:tr w14:paraId="2E620F4E" w:rsidR="00FF202D" w:rsidRPr="00FF202D" w:rsidTr="00EE3DAD">
        <w:trPr>
          <w:trHeight w:val="536"/>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2A2CCB22"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3254DB2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561AB08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Materials and placement of infrastructure at PA sites: $45,200</w:t>
            </w:r>
          </w:p>
        </w:tc>
        <w:tc>
          <w:tcPr>
            <w:tcW w:w="2631" w:type="dxa"/>
            <w:tcBorders>
              <w:top w:val="nil"/>
              <w:left w:val="nil"/>
              <w:bottom w:val="single" w:sz="4" w:space="0" w:color="auto"/>
              <w:right w:val="single" w:sz="4" w:space="0" w:color="auto"/>
            </w:tcBorders>
            <w:shd w:val="clear" w:color="000000" w:fill="DAEEF3"/>
            <w:noWrap/>
            <w:vAlign w:val="center"/>
            <w:hideMark/>
          </w:tcPr>
          <w:p w14:paraId="56A92164"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45,200 </w:t>
            </w:r>
          </w:p>
        </w:tc>
      </w:tr>
      <w:tr w14:paraId="700EFAC1"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15C8721"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66FD51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74E2148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a) Materials and installation of demarcation and signage: $50,000.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Placements of infrastructural enhancements: $7,000.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val="es-MX" w:eastAsia="es-MX"/>
              </w:rPr>
              <w:t>Total cost: $57,000.</w:t>
            </w:r>
          </w:p>
        </w:tc>
        <w:tc>
          <w:tcPr>
            <w:tcW w:w="2631" w:type="dxa"/>
            <w:tcBorders>
              <w:top w:val="nil"/>
              <w:left w:val="nil"/>
              <w:bottom w:val="single" w:sz="4" w:space="0" w:color="auto"/>
              <w:right w:val="single" w:sz="4" w:space="0" w:color="auto"/>
            </w:tcBorders>
            <w:shd w:val="clear" w:color="000000" w:fill="DAEEF3"/>
            <w:noWrap/>
            <w:vAlign w:val="center"/>
            <w:hideMark/>
          </w:tcPr>
          <w:p w14:paraId="0E98E52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57,000 </w:t>
            </w:r>
          </w:p>
        </w:tc>
      </w:tr>
      <w:tr w14:paraId="3A082419"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8634B69"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BDE020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62373CC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 Reef restoration developments, etc.: $25,000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Coral reef restoration initiative: $28,000.00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c)  Equipment for coral reef restoration initiative (INRM) associated with SIOB MPA $18,000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$71,000</w:t>
            </w:r>
          </w:p>
        </w:tc>
        <w:tc>
          <w:tcPr>
            <w:tcW w:w="2631" w:type="dxa"/>
            <w:tcBorders>
              <w:top w:val="nil"/>
              <w:left w:val="nil"/>
              <w:bottom w:val="single" w:sz="4" w:space="0" w:color="auto"/>
              <w:right w:val="single" w:sz="4" w:space="0" w:color="auto"/>
            </w:tcBorders>
            <w:shd w:val="clear" w:color="000000" w:fill="DAEEF3"/>
            <w:noWrap/>
            <w:vAlign w:val="center"/>
            <w:hideMark/>
          </w:tcPr>
          <w:p w14:paraId="1F8CB41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71,000 </w:t>
            </w:r>
          </w:p>
        </w:tc>
      </w:tr>
      <w:tr w14:paraId="3E6BB818"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706F915"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73AD94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3955290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Demonstration equipment/ aids for island wide public education campaign for conservation $25,000.</w:t>
            </w:r>
          </w:p>
        </w:tc>
        <w:tc>
          <w:tcPr>
            <w:tcW w:w="2631" w:type="dxa"/>
            <w:tcBorders>
              <w:top w:val="nil"/>
              <w:left w:val="nil"/>
              <w:bottom w:val="single" w:sz="4" w:space="0" w:color="auto"/>
              <w:right w:val="single" w:sz="4" w:space="0" w:color="auto"/>
            </w:tcBorders>
            <w:shd w:val="clear" w:color="000000" w:fill="DAEEF3"/>
            <w:noWrap/>
            <w:vAlign w:val="center"/>
            <w:hideMark/>
          </w:tcPr>
          <w:p w14:paraId="7C3F0385"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25,000 </w:t>
            </w:r>
          </w:p>
        </w:tc>
      </w:tr>
      <w:tr w14:paraId="21591C4F" w:rsidR="00FF202D" w:rsidRPr="00FF202D" w:rsidTr="00EE3DAD">
        <w:trPr>
          <w:trHeight w:val="503"/>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DECA90F"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3564905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2CACBEE7"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Demonstration equipment/aids for staff and partners training in methodology, data collection etc: $20,000</w:t>
            </w:r>
          </w:p>
        </w:tc>
        <w:tc>
          <w:tcPr>
            <w:tcW w:w="2631" w:type="dxa"/>
            <w:tcBorders>
              <w:top w:val="nil"/>
              <w:left w:val="nil"/>
              <w:bottom w:val="single" w:sz="4" w:space="0" w:color="auto"/>
              <w:right w:val="single" w:sz="4" w:space="0" w:color="auto"/>
            </w:tcBorders>
            <w:shd w:val="clear" w:color="000000" w:fill="DAEEF3"/>
            <w:noWrap/>
            <w:vAlign w:val="center"/>
            <w:hideMark/>
          </w:tcPr>
          <w:p w14:paraId="289CB4E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20,000 </w:t>
            </w:r>
          </w:p>
        </w:tc>
      </w:tr>
      <w:tr w14:paraId="79813426"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00EFE1E7"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5D15C3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266CAD9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Demonstration equipment for linking livelihood with INRM practices at local areas: $28,000.</w:t>
            </w:r>
          </w:p>
        </w:tc>
        <w:tc>
          <w:tcPr>
            <w:tcW w:w="2631" w:type="dxa"/>
            <w:tcBorders>
              <w:top w:val="nil"/>
              <w:left w:val="nil"/>
              <w:bottom w:val="single" w:sz="4" w:space="0" w:color="auto"/>
              <w:right w:val="single" w:sz="4" w:space="0" w:color="auto"/>
            </w:tcBorders>
            <w:shd w:val="clear" w:color="000000" w:fill="DAEEF3"/>
            <w:noWrap/>
            <w:vAlign w:val="center"/>
            <w:hideMark/>
          </w:tcPr>
          <w:p w14:paraId="1E2C3C5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28,000 </w:t>
            </w:r>
          </w:p>
        </w:tc>
      </w:tr>
      <w:tr w14:paraId="15D00DCF" w:rsidR="00FF202D" w:rsidRPr="00FF202D" w:rsidTr="00EE3DAD">
        <w:trPr>
          <w:trHeight w:val="812"/>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48F9CE3"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360F17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3C6B1A16"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Outfitting equipment for work boat for training, demonstrations, installations together with MCS activities for MPAs: $62,000.</w:t>
            </w:r>
          </w:p>
        </w:tc>
        <w:tc>
          <w:tcPr>
            <w:tcW w:w="2631" w:type="dxa"/>
            <w:tcBorders>
              <w:top w:val="nil"/>
              <w:left w:val="nil"/>
              <w:bottom w:val="single" w:sz="4" w:space="0" w:color="auto"/>
              <w:right w:val="single" w:sz="4" w:space="0" w:color="auto"/>
            </w:tcBorders>
            <w:shd w:val="clear" w:color="000000" w:fill="DAEEF3"/>
            <w:noWrap/>
            <w:vAlign w:val="center"/>
            <w:hideMark/>
          </w:tcPr>
          <w:p w14:paraId="39F9CFB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62,000 </w:t>
            </w:r>
          </w:p>
        </w:tc>
      </w:tr>
      <w:tr w14:paraId="32BECB60" w:rsidR="00FF202D" w:rsidRPr="00FF202D" w:rsidTr="00EE3DAD">
        <w:trPr>
          <w:trHeight w:val="979"/>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D3DC801"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3CA78BC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37FB438B"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 An initiative for development / implementation of FADS program as example in IMRM coupled with livelihoods: $40,000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Equipment for FAD initiative (INRM) associated with SIOB MPA: $20,000</w:t>
            </w:r>
          </w:p>
        </w:tc>
        <w:tc>
          <w:tcPr>
            <w:tcW w:w="2631" w:type="dxa"/>
            <w:tcBorders>
              <w:top w:val="nil"/>
              <w:left w:val="nil"/>
              <w:bottom w:val="single" w:sz="4" w:space="0" w:color="auto"/>
              <w:right w:val="single" w:sz="4" w:space="0" w:color="auto"/>
            </w:tcBorders>
            <w:shd w:val="clear" w:color="000000" w:fill="DAEEF3"/>
            <w:noWrap/>
            <w:vAlign w:val="center"/>
            <w:hideMark/>
          </w:tcPr>
          <w:p w14:paraId="44C8879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60,000 </w:t>
            </w:r>
          </w:p>
        </w:tc>
      </w:tr>
      <w:tr w14:paraId="47591AD4" w:rsidR="00FF202D" w:rsidRPr="00FF202D" w:rsidTr="00EE3DAD">
        <w:trPr>
          <w:trHeight w:val="568"/>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69587AA"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9B222E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6346C469"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Equipment support white / saline island MPA management plan: $10,000</w:t>
            </w:r>
          </w:p>
        </w:tc>
        <w:tc>
          <w:tcPr>
            <w:tcW w:w="2631" w:type="dxa"/>
            <w:tcBorders>
              <w:top w:val="nil"/>
              <w:left w:val="nil"/>
              <w:bottom w:val="single" w:sz="4" w:space="0" w:color="auto"/>
              <w:right w:val="single" w:sz="4" w:space="0" w:color="auto"/>
            </w:tcBorders>
            <w:shd w:val="clear" w:color="000000" w:fill="DAEEF3"/>
            <w:noWrap/>
            <w:vAlign w:val="center"/>
            <w:hideMark/>
          </w:tcPr>
          <w:p w14:paraId="2226F973"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10,000 </w:t>
            </w:r>
          </w:p>
        </w:tc>
      </w:tr>
      <w:tr w14:paraId="66C3AFE8" w:rsidR="00FF202D" w:rsidRPr="00FF202D" w:rsidTr="00EE3DAD">
        <w:trPr>
          <w:trHeight w:val="562"/>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136C616C"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12EC6C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5D95E7D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Equipment / construction for SIOB link in the network interpretation centre: $62,000</w:t>
            </w:r>
          </w:p>
        </w:tc>
        <w:tc>
          <w:tcPr>
            <w:tcW w:w="2631" w:type="dxa"/>
            <w:tcBorders>
              <w:top w:val="nil"/>
              <w:left w:val="nil"/>
              <w:bottom w:val="single" w:sz="4" w:space="0" w:color="auto"/>
              <w:right w:val="single" w:sz="4" w:space="0" w:color="auto"/>
            </w:tcBorders>
            <w:shd w:val="clear" w:color="000000" w:fill="DAEEF3"/>
            <w:noWrap/>
            <w:vAlign w:val="center"/>
            <w:hideMark/>
          </w:tcPr>
          <w:p w14:paraId="087F710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62,000 </w:t>
            </w:r>
          </w:p>
        </w:tc>
      </w:tr>
      <w:tr w14:paraId="2C8E89E7"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2403F026"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85A5976"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1D20416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Equipment for SCUBA initiative (INRM) associated with SIOB MPA: $10,000</w:t>
            </w:r>
          </w:p>
        </w:tc>
        <w:tc>
          <w:tcPr>
            <w:tcW w:w="2631" w:type="dxa"/>
            <w:tcBorders>
              <w:top w:val="nil"/>
              <w:left w:val="nil"/>
              <w:bottom w:val="single" w:sz="4" w:space="0" w:color="auto"/>
              <w:right w:val="single" w:sz="4" w:space="0" w:color="auto"/>
            </w:tcBorders>
            <w:shd w:val="clear" w:color="000000" w:fill="DAEEF3"/>
            <w:noWrap/>
            <w:vAlign w:val="center"/>
            <w:hideMark/>
          </w:tcPr>
          <w:p w14:paraId="6DF57F0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10,000 </w:t>
            </w:r>
          </w:p>
        </w:tc>
      </w:tr>
      <w:tr w14:paraId="6075663E"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74C83AC3"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5A81C4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DAEEF3"/>
            <w:noWrap/>
            <w:vAlign w:val="center"/>
            <w:hideMark/>
          </w:tcPr>
          <w:p w14:paraId="2D7DFBA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 Purchase of work boat for training demonstrations installations with MCS activities for MPAs: $75,000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Operations expenses during demonstration phase for monitor / control / surveillance activities: $30,000</w:t>
            </w:r>
          </w:p>
        </w:tc>
        <w:tc>
          <w:tcPr>
            <w:tcW w:w="2631" w:type="dxa"/>
            <w:tcBorders>
              <w:top w:val="nil"/>
              <w:left w:val="nil"/>
              <w:bottom w:val="single" w:sz="4" w:space="0" w:color="auto"/>
              <w:right w:val="single" w:sz="4" w:space="0" w:color="auto"/>
            </w:tcBorders>
            <w:shd w:val="clear" w:color="000000" w:fill="DAEEF3"/>
            <w:noWrap/>
            <w:vAlign w:val="center"/>
            <w:hideMark/>
          </w:tcPr>
          <w:p w14:paraId="5D27ED3D"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105,000 </w:t>
            </w:r>
          </w:p>
        </w:tc>
      </w:tr>
      <w:tr w14:paraId="6F1F18DA" w:rsidR="00FF202D" w:rsidRPr="00FF202D" w:rsidTr="00EE3DAD">
        <w:trPr>
          <w:trHeight w:val="3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6B8B2AEB"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7</w:t>
            </w:r>
          </w:p>
        </w:tc>
        <w:tc>
          <w:tcPr>
            <w:tcW w:w="1008" w:type="dxa"/>
            <w:tcBorders>
              <w:top w:val="nil"/>
              <w:left w:val="nil"/>
              <w:bottom w:val="single" w:sz="4" w:space="0" w:color="auto"/>
              <w:right w:val="single" w:sz="4" w:space="0" w:color="auto"/>
            </w:tcBorders>
            <w:shd w:val="clear" w:color="000000" w:fill="DAEEF3"/>
            <w:noWrap/>
            <w:vAlign w:val="center"/>
            <w:hideMark/>
          </w:tcPr>
          <w:p w14:paraId="3003277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DAEEF3"/>
            <w:noWrap/>
            <w:vAlign w:val="center"/>
            <w:hideMark/>
          </w:tcPr>
          <w:p w14:paraId="56B5D83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Office supplies.</w:t>
            </w:r>
          </w:p>
        </w:tc>
        <w:tc>
          <w:tcPr>
            <w:tcW w:w="2631" w:type="dxa"/>
            <w:tcBorders>
              <w:top w:val="nil"/>
              <w:left w:val="nil"/>
              <w:bottom w:val="single" w:sz="4" w:space="0" w:color="auto"/>
              <w:right w:val="single" w:sz="4" w:space="0" w:color="auto"/>
            </w:tcBorders>
            <w:shd w:val="clear" w:color="000000" w:fill="DAEEF3"/>
            <w:noWrap/>
            <w:vAlign w:val="center"/>
            <w:hideMark/>
          </w:tcPr>
          <w:p w14:paraId="78C8D75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1,500 </w:t>
            </w:r>
          </w:p>
        </w:tc>
      </w:tr>
      <w:tr w14:paraId="75788735" w:rsidR="00FF202D" w:rsidRPr="00FF202D" w:rsidTr="00EE3DAD">
        <w:trPr>
          <w:trHeight w:val="516"/>
        </w:trPr>
        <w:tc>
          <w:tcPr>
            <w:tcW w:w="85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50259F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w:t>
            </w:r>
          </w:p>
        </w:tc>
        <w:tc>
          <w:tcPr>
            <w:tcW w:w="1008" w:type="dxa"/>
            <w:tcBorders>
              <w:top w:val="nil"/>
              <w:left w:val="nil"/>
              <w:bottom w:val="single" w:sz="4" w:space="0" w:color="auto"/>
              <w:right w:val="single" w:sz="4" w:space="0" w:color="auto"/>
            </w:tcBorders>
            <w:shd w:val="clear" w:color="000000" w:fill="DAEEF3"/>
            <w:noWrap/>
            <w:vAlign w:val="center"/>
            <w:hideMark/>
          </w:tcPr>
          <w:p w14:paraId="3F72E7E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73200</w:t>
            </w:r>
          </w:p>
        </w:tc>
        <w:tc>
          <w:tcPr>
            <w:tcW w:w="9996" w:type="dxa"/>
            <w:tcBorders>
              <w:top w:val="nil"/>
              <w:left w:val="nil"/>
              <w:bottom w:val="single" w:sz="4" w:space="0" w:color="auto"/>
              <w:right w:val="single" w:sz="4" w:space="0" w:color="auto"/>
            </w:tcBorders>
            <w:shd w:val="clear" w:color="000000" w:fill="DAEEF3"/>
            <w:noWrap/>
            <w:vAlign w:val="center"/>
            <w:hideMark/>
          </w:tcPr>
          <w:p w14:paraId="283D6D1C" w:rsidR="00FF202D" w:rsidRPr="003B23A1" w:rsidRDefault="00FF202D" w:rsidP="00FF202D">
            <w:pPr>
              <w:spacing w:after="0" w:line="240" w:lineRule="auto"/>
              <w:rPr>
                <w:rFonts w:ascii="Times New Roman" w:eastAsia="Times New Roman" w:hAnsi="Times New Roman" w:cs="Times New Roman"/>
                <w:lang w:val="fr-FR" w:eastAsia="es-MX"/>
              </w:rPr>
            </w:pPr>
            <w:r w:rsidRPr="003B23A1">
              <w:rPr>
                <w:rFonts w:ascii="Times New Roman" w:hAnsi="Times New Roman" w:eastAsia="Times New Roman" w:cs="Times New Roman"/>
                <w:lang w:val="fr-FR" w:eastAsia="es-MX"/>
              </w:rPr>
              <w:t>Infrastructural enhancement at marine sites: $33,500</w:t>
            </w:r>
          </w:p>
        </w:tc>
        <w:tc>
          <w:tcPr>
            <w:tcW w:w="2631" w:type="dxa"/>
            <w:tcBorders>
              <w:top w:val="nil"/>
              <w:left w:val="nil"/>
              <w:bottom w:val="single" w:sz="4" w:space="0" w:color="auto"/>
              <w:right w:val="single" w:sz="4" w:space="0" w:color="auto"/>
            </w:tcBorders>
            <w:shd w:val="clear" w:color="000000" w:fill="DAEEF3"/>
            <w:noWrap/>
            <w:vAlign w:val="center"/>
            <w:hideMark/>
          </w:tcPr>
          <w:p w14:paraId="6CCDE8BA" w:rsidR="00FF202D" w:rsidRPr="00FF202D" w:rsidRDefault="00FF202D" w:rsidP="00FF202D">
            <w:pPr>
              <w:spacing w:after="0" w:line="240" w:lineRule="auto"/>
              <w:rPr>
                <w:rFonts w:ascii="Times New Roman" w:eastAsia="Times New Roman" w:hAnsi="Times New Roman" w:cs="Times New Roman"/>
                <w:lang w:val="es-MX" w:eastAsia="es-MX"/>
              </w:rPr>
            </w:pPr>
            <w:r w:rsidRPr="003B23A1">
              <w:rPr>
                <w:rFonts w:ascii="Times New Roman" w:hAnsi="Times New Roman" w:eastAsia="Times New Roman" w:cs="Times New Roman"/>
                <w:lang w:val="fr-FR" w:eastAsia="es-MX"/>
              </w:rPr>
              <w:t xml:space="preserve">                </w:t>
            </w:r>
            <w:r w:rsidRPr="00FF202D">
              <w:rPr>
                <w:rFonts w:ascii="Times New Roman" w:hAnsi="Times New Roman" w:eastAsia="Times New Roman" w:cs="Times New Roman"/>
                <w:lang w:val="es-MX" w:eastAsia="es-MX"/>
              </w:rPr>
              <w:t xml:space="preserve">33,500 </w:t>
            </w:r>
          </w:p>
        </w:tc>
      </w:tr>
      <w:tr w14:paraId="012DF017" w:rsidR="00FF202D" w:rsidRPr="00FF202D" w:rsidTr="00EE3DAD">
        <w:trPr>
          <w:trHeight w:val="552"/>
        </w:trPr>
        <w:tc>
          <w:tcPr>
            <w:tcW w:w="850" w:type="dxa"/>
            <w:vMerge/>
            <w:tcBorders>
              <w:top w:val="nil"/>
              <w:left w:val="single" w:sz="4" w:space="0" w:color="auto"/>
              <w:bottom w:val="single" w:sz="4" w:space="0" w:color="000000"/>
              <w:right w:val="single" w:sz="4" w:space="0" w:color="auto"/>
            </w:tcBorders>
            <w:vAlign w:val="center"/>
            <w:hideMark/>
          </w:tcPr>
          <w:p w14:paraId="2A5F6D4E"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1F3F95B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73200</w:t>
            </w:r>
          </w:p>
        </w:tc>
        <w:tc>
          <w:tcPr>
            <w:tcW w:w="9996" w:type="dxa"/>
            <w:tcBorders>
              <w:top w:val="nil"/>
              <w:left w:val="nil"/>
              <w:bottom w:val="single" w:sz="4" w:space="0" w:color="auto"/>
              <w:right w:val="single" w:sz="4" w:space="0" w:color="auto"/>
            </w:tcBorders>
            <w:shd w:val="clear" w:color="000000" w:fill="DAEEF3"/>
            <w:noWrap/>
            <w:vAlign w:val="center"/>
            <w:hideMark/>
          </w:tcPr>
          <w:p w14:paraId="748CA17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Construction infrastructure (Interpretation Centre): $66,000</w:t>
            </w:r>
          </w:p>
        </w:tc>
        <w:tc>
          <w:tcPr>
            <w:tcW w:w="2631" w:type="dxa"/>
            <w:tcBorders>
              <w:top w:val="nil"/>
              <w:left w:val="nil"/>
              <w:bottom w:val="single" w:sz="4" w:space="0" w:color="auto"/>
              <w:right w:val="single" w:sz="4" w:space="0" w:color="auto"/>
            </w:tcBorders>
            <w:shd w:val="clear" w:color="000000" w:fill="DAEEF3"/>
            <w:noWrap/>
            <w:vAlign w:val="center"/>
            <w:hideMark/>
          </w:tcPr>
          <w:p w14:paraId="34E5E8B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66,000 </w:t>
            </w:r>
          </w:p>
        </w:tc>
      </w:tr>
      <w:tr w14:paraId="6AC394A4" w:rsidR="00FF202D" w:rsidRPr="00FF202D" w:rsidTr="00EE3DAD">
        <w:trPr>
          <w:trHeight w:val="829"/>
        </w:trPr>
        <w:tc>
          <w:tcPr>
            <w:tcW w:w="850" w:type="dxa"/>
            <w:vMerge/>
            <w:tcBorders>
              <w:top w:val="nil"/>
              <w:left w:val="single" w:sz="4" w:space="0" w:color="auto"/>
              <w:bottom w:val="single" w:sz="4" w:space="0" w:color="000000"/>
              <w:right w:val="single" w:sz="4" w:space="0" w:color="auto"/>
            </w:tcBorders>
            <w:vAlign w:val="center"/>
            <w:hideMark/>
          </w:tcPr>
          <w:p w14:paraId="743A862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21DCBF4"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73200</w:t>
            </w:r>
          </w:p>
        </w:tc>
        <w:tc>
          <w:tcPr>
            <w:tcW w:w="9996" w:type="dxa"/>
            <w:tcBorders>
              <w:top w:val="nil"/>
              <w:left w:val="nil"/>
              <w:bottom w:val="single" w:sz="4" w:space="0" w:color="auto"/>
              <w:right w:val="single" w:sz="4" w:space="0" w:color="auto"/>
            </w:tcBorders>
            <w:shd w:val="clear" w:color="000000" w:fill="DAEEF3"/>
            <w:noWrap/>
            <w:vAlign w:val="center"/>
            <w:hideMark/>
          </w:tcPr>
          <w:p w14:paraId="0A85C57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Construction / enhancement for enabling infrastructure for capacity to demonstrate conservation/ management: $273,200</w:t>
            </w:r>
          </w:p>
        </w:tc>
        <w:tc>
          <w:tcPr>
            <w:tcW w:w="2631" w:type="dxa"/>
            <w:tcBorders>
              <w:top w:val="nil"/>
              <w:left w:val="nil"/>
              <w:bottom w:val="single" w:sz="4" w:space="0" w:color="auto"/>
              <w:right w:val="single" w:sz="4" w:space="0" w:color="auto"/>
            </w:tcBorders>
            <w:shd w:val="clear" w:color="000000" w:fill="DAEEF3"/>
            <w:noWrap/>
            <w:vAlign w:val="center"/>
            <w:hideMark/>
          </w:tcPr>
          <w:p w14:paraId="41D9050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273,200 </w:t>
            </w:r>
          </w:p>
        </w:tc>
      </w:tr>
      <w:tr w14:paraId="6614D2BA" w:rsidR="00FF202D" w:rsidRPr="00FF202D" w:rsidTr="00EE3DAD">
        <w:trPr>
          <w:trHeight w:val="1095"/>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1FC11B1F"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9</w:t>
            </w:r>
          </w:p>
        </w:tc>
        <w:tc>
          <w:tcPr>
            <w:tcW w:w="1008" w:type="dxa"/>
            <w:tcBorders>
              <w:top w:val="nil"/>
              <w:left w:val="nil"/>
              <w:bottom w:val="single" w:sz="4" w:space="0" w:color="auto"/>
              <w:right w:val="single" w:sz="4" w:space="0" w:color="auto"/>
            </w:tcBorders>
            <w:shd w:val="clear" w:color="000000" w:fill="DAEEF3"/>
            <w:noWrap/>
            <w:vAlign w:val="center"/>
            <w:hideMark/>
          </w:tcPr>
          <w:p w14:paraId="783B746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74100</w:t>
            </w:r>
          </w:p>
        </w:tc>
        <w:tc>
          <w:tcPr>
            <w:tcW w:w="9996" w:type="dxa"/>
            <w:tcBorders>
              <w:top w:val="nil"/>
              <w:left w:val="nil"/>
              <w:bottom w:val="single" w:sz="4" w:space="0" w:color="auto"/>
              <w:right w:val="single" w:sz="4" w:space="0" w:color="auto"/>
            </w:tcBorders>
            <w:shd w:val="clear" w:color="000000" w:fill="DAEEF3"/>
            <w:noWrap/>
            <w:vAlign w:val="center"/>
            <w:hideMark/>
          </w:tcPr>
          <w:p w14:paraId="1DED3C9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Legal establishment for three small TPAs: $3,000</w:t>
            </w:r>
          </w:p>
        </w:tc>
        <w:tc>
          <w:tcPr>
            <w:tcW w:w="2631" w:type="dxa"/>
            <w:tcBorders>
              <w:top w:val="nil"/>
              <w:left w:val="nil"/>
              <w:bottom w:val="single" w:sz="4" w:space="0" w:color="auto"/>
              <w:right w:val="single" w:sz="4" w:space="0" w:color="auto"/>
            </w:tcBorders>
            <w:shd w:val="clear" w:color="000000" w:fill="DAEEF3"/>
            <w:noWrap/>
            <w:vAlign w:val="center"/>
            <w:hideMark/>
          </w:tcPr>
          <w:p w14:paraId="719DB26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3,000 </w:t>
            </w:r>
          </w:p>
        </w:tc>
      </w:tr>
      <w:tr w14:paraId="71CC1DA8" w:rsidR="00FF202D" w:rsidRPr="00FF202D" w:rsidTr="00EE3DAD">
        <w:trPr>
          <w:trHeight w:val="300"/>
        </w:trPr>
        <w:tc>
          <w:tcPr>
            <w:tcW w:w="85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C35436C"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10</w:t>
            </w:r>
          </w:p>
        </w:tc>
        <w:tc>
          <w:tcPr>
            <w:tcW w:w="1008" w:type="dxa"/>
            <w:tcBorders>
              <w:top w:val="nil"/>
              <w:left w:val="nil"/>
              <w:bottom w:val="single" w:sz="4" w:space="0" w:color="auto"/>
              <w:right w:val="single" w:sz="4" w:space="0" w:color="auto"/>
            </w:tcBorders>
            <w:shd w:val="clear" w:color="000000" w:fill="DAEEF3"/>
            <w:noWrap/>
            <w:vAlign w:val="center"/>
            <w:hideMark/>
          </w:tcPr>
          <w:p w14:paraId="4640B00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4E759B0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awareness / education in support of management planning for Mt. St. Catherine: $500</w:t>
            </w:r>
          </w:p>
        </w:tc>
        <w:tc>
          <w:tcPr>
            <w:tcW w:w="2631" w:type="dxa"/>
            <w:tcBorders>
              <w:top w:val="nil"/>
              <w:left w:val="nil"/>
              <w:bottom w:val="single" w:sz="4" w:space="0" w:color="auto"/>
              <w:right w:val="single" w:sz="4" w:space="0" w:color="auto"/>
            </w:tcBorders>
            <w:shd w:val="clear" w:color="000000" w:fill="DAEEF3"/>
            <w:noWrap/>
            <w:vAlign w:val="center"/>
            <w:hideMark/>
          </w:tcPr>
          <w:p w14:paraId="59846972"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500 </w:t>
            </w:r>
          </w:p>
        </w:tc>
      </w:tr>
      <w:tr w14:paraId="3DF6909C"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3795ABBF"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F29902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5AD3564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awareness / education: management planning for TPA sites: $6,000</w:t>
            </w:r>
          </w:p>
        </w:tc>
        <w:tc>
          <w:tcPr>
            <w:tcW w:w="2631" w:type="dxa"/>
            <w:tcBorders>
              <w:top w:val="nil"/>
              <w:left w:val="nil"/>
              <w:bottom w:val="single" w:sz="4" w:space="0" w:color="auto"/>
              <w:right w:val="single" w:sz="4" w:space="0" w:color="auto"/>
            </w:tcBorders>
            <w:shd w:val="clear" w:color="000000" w:fill="DAEEF3"/>
            <w:noWrap/>
            <w:vAlign w:val="center"/>
            <w:hideMark/>
          </w:tcPr>
          <w:p w14:paraId="55A96EB5"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6,000 </w:t>
            </w:r>
          </w:p>
        </w:tc>
      </w:tr>
      <w:tr w14:paraId="5BCDEFE8"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06926032"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2FC4AA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6A7DED18"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awareness / education concerning placements of infrastructure for ten small TPAs: $8,500</w:t>
            </w:r>
          </w:p>
        </w:tc>
        <w:tc>
          <w:tcPr>
            <w:tcW w:w="2631" w:type="dxa"/>
            <w:tcBorders>
              <w:top w:val="nil"/>
              <w:left w:val="nil"/>
              <w:bottom w:val="single" w:sz="4" w:space="0" w:color="auto"/>
              <w:right w:val="single" w:sz="4" w:space="0" w:color="auto"/>
            </w:tcBorders>
            <w:shd w:val="clear" w:color="000000" w:fill="DAEEF3"/>
            <w:noWrap/>
            <w:vAlign w:val="center"/>
            <w:hideMark/>
          </w:tcPr>
          <w:p w14:paraId="2CAE723D"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8,500 </w:t>
            </w:r>
          </w:p>
        </w:tc>
      </w:tr>
      <w:tr w14:paraId="11C155F0"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53F97981"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38F159A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70C7FF16"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Education / awareness aids: public education for co-management staff training: $2,000</w:t>
            </w:r>
          </w:p>
        </w:tc>
        <w:tc>
          <w:tcPr>
            <w:tcW w:w="2631" w:type="dxa"/>
            <w:tcBorders>
              <w:top w:val="nil"/>
              <w:left w:val="nil"/>
              <w:bottom w:val="single" w:sz="4" w:space="0" w:color="auto"/>
              <w:right w:val="single" w:sz="4" w:space="0" w:color="auto"/>
            </w:tcBorders>
            <w:shd w:val="clear" w:color="000000" w:fill="DAEEF3"/>
            <w:noWrap/>
            <w:vAlign w:val="center"/>
            <w:hideMark/>
          </w:tcPr>
          <w:p w14:paraId="075180F2"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2,000 </w:t>
            </w:r>
          </w:p>
        </w:tc>
      </w:tr>
      <w:tr w14:paraId="022F1C99"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04C45A71"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3CDB7F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683A58B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education aids for marine conservation: $20,000</w:t>
            </w:r>
          </w:p>
        </w:tc>
        <w:tc>
          <w:tcPr>
            <w:tcW w:w="2631" w:type="dxa"/>
            <w:tcBorders>
              <w:top w:val="nil"/>
              <w:left w:val="nil"/>
              <w:bottom w:val="single" w:sz="4" w:space="0" w:color="auto"/>
              <w:right w:val="single" w:sz="4" w:space="0" w:color="auto"/>
            </w:tcBorders>
            <w:shd w:val="clear" w:color="000000" w:fill="DAEEF3"/>
            <w:noWrap/>
            <w:vAlign w:val="center"/>
            <w:hideMark/>
          </w:tcPr>
          <w:p w14:paraId="0331EA67"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20,000 </w:t>
            </w:r>
          </w:p>
        </w:tc>
      </w:tr>
      <w:tr w14:paraId="6C3AE016" w:rsidR="00FF202D" w:rsidRPr="00FF202D" w:rsidTr="00EE3DAD">
        <w:trPr>
          <w:trHeight w:val="692"/>
        </w:trPr>
        <w:tc>
          <w:tcPr>
            <w:tcW w:w="850" w:type="dxa"/>
            <w:vMerge/>
            <w:tcBorders>
              <w:top w:val="nil"/>
              <w:left w:val="single" w:sz="4" w:space="0" w:color="auto"/>
              <w:bottom w:val="single" w:sz="4" w:space="0" w:color="000000"/>
              <w:right w:val="single" w:sz="4" w:space="0" w:color="auto"/>
            </w:tcBorders>
            <w:vAlign w:val="center"/>
            <w:hideMark/>
          </w:tcPr>
          <w:p w14:paraId="22AA6ECF"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B2256CD"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6BA4F6A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Printing of 100 copies of approved policy on PAs: $950.</w:t>
            </w:r>
          </w:p>
        </w:tc>
        <w:tc>
          <w:tcPr>
            <w:tcW w:w="2631" w:type="dxa"/>
            <w:tcBorders>
              <w:top w:val="nil"/>
              <w:left w:val="nil"/>
              <w:bottom w:val="single" w:sz="4" w:space="0" w:color="auto"/>
              <w:right w:val="single" w:sz="4" w:space="0" w:color="auto"/>
            </w:tcBorders>
            <w:shd w:val="clear" w:color="000000" w:fill="DAEEF3"/>
            <w:noWrap/>
            <w:vAlign w:val="center"/>
            <w:hideMark/>
          </w:tcPr>
          <w:p w14:paraId="77131A82"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950 </w:t>
            </w:r>
          </w:p>
        </w:tc>
      </w:tr>
      <w:tr w14:paraId="4F5DFDBB"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734FB687"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1215EAE4"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651825C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Media engagements and print: public awareness of the general population on science-based and TEK education concerning the Watershed Management area: $28,000</w:t>
            </w:r>
          </w:p>
        </w:tc>
        <w:tc>
          <w:tcPr>
            <w:tcW w:w="2631" w:type="dxa"/>
            <w:tcBorders>
              <w:top w:val="nil"/>
              <w:left w:val="nil"/>
              <w:bottom w:val="single" w:sz="4" w:space="0" w:color="auto"/>
              <w:right w:val="single" w:sz="4" w:space="0" w:color="auto"/>
            </w:tcBorders>
            <w:shd w:val="clear" w:color="000000" w:fill="DAEEF3"/>
            <w:noWrap/>
            <w:vAlign w:val="center"/>
            <w:hideMark/>
          </w:tcPr>
          <w:p w14:paraId="06FCB9A8"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28,000 </w:t>
            </w:r>
          </w:p>
        </w:tc>
      </w:tr>
      <w:tr w14:paraId="194343C9"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0EC1A9F6"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0FD4CDF"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4EB903A9"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awareness: establishment and demarcation of Mt. St. Catherine as a TPA (a re-engagement) $2,000</w:t>
            </w:r>
          </w:p>
        </w:tc>
        <w:tc>
          <w:tcPr>
            <w:tcW w:w="2631" w:type="dxa"/>
            <w:tcBorders>
              <w:top w:val="nil"/>
              <w:left w:val="nil"/>
              <w:bottom w:val="single" w:sz="4" w:space="0" w:color="auto"/>
              <w:right w:val="single" w:sz="4" w:space="0" w:color="auto"/>
            </w:tcBorders>
            <w:shd w:val="clear" w:color="000000" w:fill="DAEEF3"/>
            <w:noWrap/>
            <w:vAlign w:val="center"/>
            <w:hideMark/>
          </w:tcPr>
          <w:p w14:paraId="2ED7581E"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2,000 </w:t>
            </w:r>
          </w:p>
        </w:tc>
      </w:tr>
      <w:tr w14:paraId="49984457"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1B35DD2B"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446C3F6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1EE332C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awareness for establishing nine small TPAS: $6,000</w:t>
            </w:r>
          </w:p>
        </w:tc>
        <w:tc>
          <w:tcPr>
            <w:tcW w:w="2631" w:type="dxa"/>
            <w:tcBorders>
              <w:top w:val="nil"/>
              <w:left w:val="nil"/>
              <w:bottom w:val="single" w:sz="4" w:space="0" w:color="auto"/>
              <w:right w:val="single" w:sz="4" w:space="0" w:color="auto"/>
            </w:tcBorders>
            <w:shd w:val="clear" w:color="000000" w:fill="DAEEF3"/>
            <w:noWrap/>
            <w:vAlign w:val="center"/>
            <w:hideMark/>
          </w:tcPr>
          <w:p w14:paraId="5917F8C8"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6,000 </w:t>
            </w:r>
          </w:p>
        </w:tc>
      </w:tr>
      <w:tr w14:paraId="64313472"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713E3B79"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79FDED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5DD75336"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Community awareness for control of indiscriminate housing and agriculture: $5,000</w:t>
            </w:r>
          </w:p>
        </w:tc>
        <w:tc>
          <w:tcPr>
            <w:tcW w:w="2631" w:type="dxa"/>
            <w:tcBorders>
              <w:top w:val="nil"/>
              <w:left w:val="nil"/>
              <w:bottom w:val="single" w:sz="4" w:space="0" w:color="auto"/>
              <w:right w:val="single" w:sz="4" w:space="0" w:color="auto"/>
            </w:tcBorders>
            <w:shd w:val="clear" w:color="000000" w:fill="DAEEF3"/>
            <w:noWrap/>
            <w:vAlign w:val="center"/>
            <w:hideMark/>
          </w:tcPr>
          <w:p w14:paraId="3017AF1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5,000 </w:t>
            </w:r>
          </w:p>
        </w:tc>
      </w:tr>
      <w:tr w14:paraId="121B5939"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66CFC173"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0773754D"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169BBBA2"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Audio-visual &amp; print costs for training of TPAs' management staff: $3,000</w:t>
            </w:r>
          </w:p>
        </w:tc>
        <w:tc>
          <w:tcPr>
            <w:tcW w:w="2631" w:type="dxa"/>
            <w:tcBorders>
              <w:top w:val="nil"/>
              <w:left w:val="nil"/>
              <w:bottom w:val="single" w:sz="4" w:space="0" w:color="auto"/>
              <w:right w:val="single" w:sz="4" w:space="0" w:color="auto"/>
            </w:tcBorders>
            <w:shd w:val="clear" w:color="000000" w:fill="DAEEF3"/>
            <w:noWrap/>
            <w:vAlign w:val="center"/>
            <w:hideMark/>
          </w:tcPr>
          <w:p w14:paraId="6F6E95D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3,000 </w:t>
            </w:r>
          </w:p>
        </w:tc>
      </w:tr>
      <w:tr w14:paraId="6D07C337"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68678B6F"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E06574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noWrap/>
            <w:vAlign w:val="center"/>
            <w:hideMark/>
          </w:tcPr>
          <w:p w14:paraId="4B43B0A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Audio visual and airtime costs: education and awareness on ecosystems within MPAs: $35,000</w:t>
            </w:r>
          </w:p>
        </w:tc>
        <w:tc>
          <w:tcPr>
            <w:tcW w:w="2631" w:type="dxa"/>
            <w:tcBorders>
              <w:top w:val="nil"/>
              <w:left w:val="nil"/>
              <w:bottom w:val="single" w:sz="4" w:space="0" w:color="auto"/>
              <w:right w:val="single" w:sz="4" w:space="0" w:color="auto"/>
            </w:tcBorders>
            <w:shd w:val="clear" w:color="000000" w:fill="DAEEF3"/>
            <w:noWrap/>
            <w:vAlign w:val="center"/>
            <w:hideMark/>
          </w:tcPr>
          <w:p w14:paraId="6D49895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35,000 </w:t>
            </w:r>
          </w:p>
        </w:tc>
      </w:tr>
      <w:tr w14:paraId="1B4C21CD" w:rsidR="00FF202D" w:rsidRPr="00FF202D" w:rsidTr="00EE3DAD">
        <w:trPr>
          <w:trHeight w:val="300"/>
        </w:trPr>
        <w:tc>
          <w:tcPr>
            <w:tcW w:w="850" w:type="dxa"/>
            <w:tcBorders>
              <w:top w:val="nil"/>
              <w:left w:val="single" w:sz="4" w:space="0" w:color="auto"/>
              <w:bottom w:val="nil"/>
              <w:right w:val="single" w:sz="4" w:space="0" w:color="auto"/>
            </w:tcBorders>
            <w:shd w:val="clear" w:color="000000" w:fill="DAEEF3"/>
            <w:noWrap/>
            <w:vAlign w:val="center"/>
            <w:hideMark/>
          </w:tcPr>
          <w:p w14:paraId="3C7354F1"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11</w:t>
            </w:r>
          </w:p>
        </w:tc>
        <w:tc>
          <w:tcPr>
            <w:tcW w:w="1008" w:type="dxa"/>
            <w:tcBorders>
              <w:top w:val="nil"/>
              <w:left w:val="nil"/>
              <w:bottom w:val="single" w:sz="4" w:space="0" w:color="auto"/>
              <w:right w:val="single" w:sz="4" w:space="0" w:color="auto"/>
            </w:tcBorders>
            <w:shd w:val="clear" w:color="000000" w:fill="DAEEF3"/>
            <w:noWrap/>
            <w:vAlign w:val="center"/>
            <w:hideMark/>
          </w:tcPr>
          <w:p w14:paraId="2384997F"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74500</w:t>
            </w:r>
          </w:p>
        </w:tc>
        <w:tc>
          <w:tcPr>
            <w:tcW w:w="9996" w:type="dxa"/>
            <w:tcBorders>
              <w:top w:val="nil"/>
              <w:left w:val="nil"/>
              <w:bottom w:val="single" w:sz="4" w:space="0" w:color="auto"/>
              <w:right w:val="single" w:sz="4" w:space="0" w:color="auto"/>
            </w:tcBorders>
            <w:shd w:val="clear" w:color="000000" w:fill="DAEEF3"/>
            <w:noWrap/>
            <w:vAlign w:val="center"/>
            <w:hideMark/>
          </w:tcPr>
          <w:p w14:paraId="63C03BC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Operations functions support for NPAC / NMPAC $3,000</w:t>
            </w:r>
          </w:p>
        </w:tc>
        <w:tc>
          <w:tcPr>
            <w:tcW w:w="2631" w:type="dxa"/>
            <w:tcBorders>
              <w:top w:val="nil"/>
              <w:left w:val="nil"/>
              <w:bottom w:val="single" w:sz="4" w:space="0" w:color="auto"/>
              <w:right w:val="single" w:sz="4" w:space="0" w:color="auto"/>
            </w:tcBorders>
            <w:shd w:val="clear" w:color="000000" w:fill="DAEEF3"/>
            <w:noWrap/>
            <w:vAlign w:val="center"/>
            <w:hideMark/>
          </w:tcPr>
          <w:p w14:paraId="064B70F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3,000 </w:t>
            </w:r>
          </w:p>
        </w:tc>
      </w:tr>
      <w:tr w14:paraId="687E3960" w:rsidR="00FF202D" w:rsidRPr="00FF202D" w:rsidTr="00EE3DAD">
        <w:trPr>
          <w:trHeight w:val="57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14:paraId="747C754D"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12</w:t>
            </w:r>
          </w:p>
        </w:tc>
        <w:tc>
          <w:tcPr>
            <w:tcW w:w="1008" w:type="dxa"/>
            <w:tcBorders>
              <w:top w:val="nil"/>
              <w:left w:val="nil"/>
              <w:bottom w:val="single" w:sz="4" w:space="0" w:color="auto"/>
              <w:right w:val="single" w:sz="4" w:space="0" w:color="auto"/>
            </w:tcBorders>
            <w:shd w:val="clear" w:color="000000" w:fill="DAEEF3"/>
            <w:noWrap/>
            <w:vAlign w:val="center"/>
            <w:hideMark/>
          </w:tcPr>
          <w:p w14:paraId="1DE424D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63813370"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Employment of livelihood persons adopting INRM practices (various livelihoods): $40,000.</w:t>
            </w:r>
          </w:p>
        </w:tc>
        <w:tc>
          <w:tcPr>
            <w:tcW w:w="2631" w:type="dxa"/>
            <w:tcBorders>
              <w:top w:val="nil"/>
              <w:left w:val="nil"/>
              <w:bottom w:val="single" w:sz="4" w:space="0" w:color="auto"/>
              <w:right w:val="single" w:sz="4" w:space="0" w:color="auto"/>
            </w:tcBorders>
            <w:shd w:val="clear" w:color="000000" w:fill="DAEEF3"/>
            <w:noWrap/>
            <w:vAlign w:val="center"/>
            <w:hideMark/>
          </w:tcPr>
          <w:p w14:paraId="136B2E74"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40,000 </w:t>
            </w:r>
          </w:p>
        </w:tc>
      </w:tr>
      <w:tr w14:paraId="02FFABFA" w:rsidR="00FF202D" w:rsidRPr="00FF202D" w:rsidTr="00EE3DAD">
        <w:trPr>
          <w:trHeight w:val="945"/>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2FC2CA1"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6A38560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41F0A6F8"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 Research and community SCUBA activities for control of lion fish education associated: $25,000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Operations expenses for the SCUBA diving cooperation in support of research / education / community conservation activities (lion fish mitigation efforts for eradication contests) $22,000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$47,000.</w:t>
            </w:r>
          </w:p>
        </w:tc>
        <w:tc>
          <w:tcPr>
            <w:tcW w:w="2631" w:type="dxa"/>
            <w:tcBorders>
              <w:top w:val="nil"/>
              <w:left w:val="nil"/>
              <w:bottom w:val="single" w:sz="4" w:space="0" w:color="auto"/>
              <w:right w:val="single" w:sz="4" w:space="0" w:color="auto"/>
            </w:tcBorders>
            <w:shd w:val="clear" w:color="000000" w:fill="DAEEF3"/>
            <w:noWrap/>
            <w:vAlign w:val="center"/>
            <w:hideMark/>
          </w:tcPr>
          <w:p w14:paraId="3DB93C9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47,000 </w:t>
            </w:r>
          </w:p>
        </w:tc>
      </w:tr>
      <w:tr w14:paraId="66F93F6D" w:rsidR="00FF202D" w:rsidRPr="00FF202D" w:rsidTr="00EE3DAD">
        <w:trPr>
          <w:trHeight w:val="75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0581B09"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54EA853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0F225FF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National and community workshops / consultations on PA policies: $3,650</w:t>
            </w:r>
          </w:p>
        </w:tc>
        <w:tc>
          <w:tcPr>
            <w:tcW w:w="2631" w:type="dxa"/>
            <w:tcBorders>
              <w:top w:val="nil"/>
              <w:left w:val="nil"/>
              <w:bottom w:val="single" w:sz="4" w:space="0" w:color="auto"/>
              <w:right w:val="single" w:sz="4" w:space="0" w:color="auto"/>
            </w:tcBorders>
            <w:shd w:val="clear" w:color="000000" w:fill="DAEEF3"/>
            <w:noWrap/>
            <w:vAlign w:val="center"/>
            <w:hideMark/>
          </w:tcPr>
          <w:p w14:paraId="1F00B5F4"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3,650 </w:t>
            </w:r>
          </w:p>
        </w:tc>
      </w:tr>
      <w:tr w14:paraId="7AFCA49C"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B0A8FF3"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1D4B039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3B8D479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Two (2) focus group workshops and one (1) national workshop on business plans for PAS management: $2,750</w:t>
            </w:r>
          </w:p>
        </w:tc>
        <w:tc>
          <w:tcPr>
            <w:tcW w:w="2631" w:type="dxa"/>
            <w:tcBorders>
              <w:top w:val="nil"/>
              <w:left w:val="nil"/>
              <w:bottom w:val="single" w:sz="4" w:space="0" w:color="auto"/>
              <w:right w:val="single" w:sz="4" w:space="0" w:color="auto"/>
            </w:tcBorders>
            <w:shd w:val="clear" w:color="000000" w:fill="DAEEF3"/>
            <w:noWrap/>
            <w:vAlign w:val="center"/>
            <w:hideMark/>
          </w:tcPr>
          <w:p w14:paraId="64F7C14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2,750 </w:t>
            </w:r>
          </w:p>
        </w:tc>
      </w:tr>
      <w:tr w14:paraId="688E3C47"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BDC413A"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7B7A2F4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75A98FF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 Management training legislation and training in sustainable financing for members of the TPA and MPA advisory bodies: consultant fees and supplies $13,900</w:t>
            </w:r>
          </w:p>
        </w:tc>
        <w:tc>
          <w:tcPr>
            <w:tcW w:w="2631" w:type="dxa"/>
            <w:tcBorders>
              <w:top w:val="nil"/>
              <w:left w:val="nil"/>
              <w:bottom w:val="single" w:sz="4" w:space="0" w:color="auto"/>
              <w:right w:val="single" w:sz="4" w:space="0" w:color="auto"/>
            </w:tcBorders>
            <w:shd w:val="clear" w:color="000000" w:fill="DAEEF3"/>
            <w:noWrap/>
            <w:vAlign w:val="center"/>
            <w:hideMark/>
          </w:tcPr>
          <w:p w14:paraId="19F4F670"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13,900 </w:t>
            </w:r>
          </w:p>
        </w:tc>
      </w:tr>
      <w:tr w14:paraId="30DBB859" w:rsidR="00FF202D" w:rsidRPr="00FF202D" w:rsidTr="00EE3DAD">
        <w:trPr>
          <w:trHeight w:val="3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30BB52B0" w:rsidR="00FF202D" w:rsidRPr="00FF202D" w:rsidRDefault="00FF202D" w:rsidP="00FF202D">
            <w:pPr>
              <w:spacing w:after="0" w:line="240" w:lineRule="auto"/>
              <w:rPr>
                <w:rFonts w:ascii="Times New Roman" w:eastAsia="Times New Roman" w:hAnsi="Times New Roman" w:cs="Times New Roman"/>
                <w:color w:val="000000"/>
                <w:lang w:val="es-MX" w:eastAsia="es-MX"/>
              </w:rPr>
            </w:pPr>
          </w:p>
        </w:tc>
        <w:tc>
          <w:tcPr>
            <w:tcW w:w="1008" w:type="dxa"/>
            <w:tcBorders>
              <w:top w:val="nil"/>
              <w:left w:val="nil"/>
              <w:bottom w:val="single" w:sz="4" w:space="0" w:color="auto"/>
              <w:right w:val="single" w:sz="4" w:space="0" w:color="auto"/>
            </w:tcBorders>
            <w:shd w:val="clear" w:color="000000" w:fill="DAEEF3"/>
            <w:noWrap/>
            <w:vAlign w:val="center"/>
            <w:hideMark/>
          </w:tcPr>
          <w:p w14:paraId="25B99C3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noWrap/>
            <w:vAlign w:val="center"/>
            <w:hideMark/>
          </w:tcPr>
          <w:p w14:paraId="616F7A4D"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Community seminars for public awareness targeted at the wider community $1,000. </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val="es-MX" w:eastAsia="es-MX"/>
              </w:rPr>
              <w:t>Working groups, seminars and launch of advisory bodies.</w:t>
            </w:r>
          </w:p>
        </w:tc>
        <w:tc>
          <w:tcPr>
            <w:tcW w:w="2631" w:type="dxa"/>
            <w:tcBorders>
              <w:top w:val="nil"/>
              <w:left w:val="nil"/>
              <w:bottom w:val="single" w:sz="4" w:space="0" w:color="auto"/>
              <w:right w:val="single" w:sz="4" w:space="0" w:color="auto"/>
            </w:tcBorders>
            <w:shd w:val="clear" w:color="000000" w:fill="DAEEF3"/>
            <w:noWrap/>
            <w:vAlign w:val="center"/>
            <w:hideMark/>
          </w:tcPr>
          <w:p w14:paraId="138B365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1,000 </w:t>
            </w:r>
          </w:p>
        </w:tc>
      </w:tr>
      <w:tr w14:paraId="0D24EF66" w:rsidR="00FF202D" w:rsidRPr="00FF202D" w:rsidTr="00FF202D">
        <w:trPr>
          <w:trHeight w:val="300"/>
        </w:trPr>
        <w:tc>
          <w:tcPr>
            <w:tcW w:w="14485" w:type="dxa"/>
            <w:gridSpan w:val="4"/>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77B143AB" w:rsidR="00FF202D" w:rsidRPr="00FF202D" w:rsidRDefault="00FF202D" w:rsidP="00FF202D">
            <w:pPr>
              <w:spacing w:after="0" w:line="240" w:lineRule="auto"/>
              <w:jc w:val="center"/>
              <w:rPr>
                <w:rFonts w:ascii="Times New Roman" w:eastAsia="Times New Roman" w:hAnsi="Times New Roman" w:cs="Times New Roman"/>
                <w:b/>
                <w:bCs/>
                <w:color w:val="000000"/>
                <w:lang w:val="es-MX" w:eastAsia="es-MX"/>
              </w:rPr>
            </w:pPr>
            <w:r w:rsidRPr="00FF202D">
              <w:rPr>
                <w:rFonts w:ascii="Times New Roman" w:hAnsi="Times New Roman" w:eastAsia="Times New Roman" w:cs="Times New Roman"/>
                <w:b/>
                <w:bCs/>
                <w:color w:val="000000"/>
                <w:lang w:val="es-MX" w:eastAsia="es-MX"/>
              </w:rPr>
              <w:t>Monitoring &amp; Evaluation</w:t>
            </w:r>
          </w:p>
        </w:tc>
      </w:tr>
      <w:tr w14:paraId="60AC039C" w:rsidR="00FF202D" w:rsidRPr="00FF202D" w:rsidTr="00FF202D">
        <w:trPr>
          <w:trHeight w:val="3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1897C1CA"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Budget Note</w:t>
            </w:r>
          </w:p>
        </w:tc>
        <w:tc>
          <w:tcPr>
            <w:tcW w:w="1008" w:type="dxa"/>
            <w:tcBorders>
              <w:top w:val="nil"/>
              <w:left w:val="nil"/>
              <w:bottom w:val="single" w:sz="4" w:space="0" w:color="auto"/>
              <w:right w:val="single" w:sz="4" w:space="0" w:color="auto"/>
            </w:tcBorders>
            <w:shd w:val="clear" w:color="000000" w:fill="DAEEF3"/>
            <w:noWrap/>
            <w:vAlign w:val="center"/>
            <w:hideMark/>
          </w:tcPr>
          <w:p w14:paraId="7099BF67"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Atlas Code</w:t>
            </w:r>
          </w:p>
        </w:tc>
        <w:tc>
          <w:tcPr>
            <w:tcW w:w="9996" w:type="dxa"/>
            <w:tcBorders>
              <w:top w:val="nil"/>
              <w:left w:val="nil"/>
              <w:bottom w:val="single" w:sz="4" w:space="0" w:color="auto"/>
              <w:right w:val="single" w:sz="4" w:space="0" w:color="auto"/>
            </w:tcBorders>
            <w:shd w:val="clear" w:color="000000" w:fill="DAEEF3"/>
            <w:noWrap/>
            <w:vAlign w:val="center"/>
            <w:hideMark/>
          </w:tcPr>
          <w:p w14:paraId="6FB4BF24"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Description</w:t>
            </w:r>
          </w:p>
        </w:tc>
        <w:tc>
          <w:tcPr>
            <w:tcW w:w="2631" w:type="dxa"/>
            <w:tcBorders>
              <w:top w:val="nil"/>
              <w:left w:val="nil"/>
              <w:bottom w:val="single" w:sz="4" w:space="0" w:color="auto"/>
              <w:right w:val="single" w:sz="4" w:space="0" w:color="auto"/>
            </w:tcBorders>
            <w:shd w:val="clear" w:color="000000" w:fill="DAEEF3"/>
            <w:noWrap/>
            <w:vAlign w:val="center"/>
            <w:hideMark/>
          </w:tcPr>
          <w:p w14:paraId="535A169B" w:rsidR="00FF202D" w:rsidRPr="00FF202D" w:rsidRDefault="00FF202D" w:rsidP="00FF202D">
            <w:pPr>
              <w:spacing w:after="0" w:line="240" w:lineRule="auto"/>
              <w:jc w:val="center"/>
              <w:rPr>
                <w:rFonts w:ascii="Times New Roman" w:eastAsia="Times New Roman" w:hAnsi="Times New Roman" w:cs="Times New Roman"/>
                <w:color w:val="000000"/>
                <w:lang w:val="es-MX" w:eastAsia="es-MX"/>
              </w:rPr>
            </w:pPr>
            <w:r w:rsidRPr="00FF202D">
              <w:rPr>
                <w:rFonts w:ascii="Times New Roman" w:hAnsi="Times New Roman" w:eastAsia="Times New Roman" w:cs="Times New Roman"/>
                <w:color w:val="000000"/>
                <w:lang w:val="es-MX" w:eastAsia="es-MX"/>
              </w:rPr>
              <w:t>Amount</w:t>
            </w:r>
          </w:p>
        </w:tc>
      </w:tr>
      <w:tr w14:paraId="041EAB6B" w:rsidR="00FF202D" w:rsidRPr="00FF202D" w:rsidTr="00FF202D">
        <w:trPr>
          <w:trHeight w:val="12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4A6C24C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13</w:t>
            </w:r>
          </w:p>
        </w:tc>
        <w:tc>
          <w:tcPr>
            <w:tcW w:w="1008" w:type="dxa"/>
            <w:tcBorders>
              <w:top w:val="nil"/>
              <w:left w:val="nil"/>
              <w:bottom w:val="single" w:sz="4" w:space="0" w:color="auto"/>
              <w:right w:val="single" w:sz="4" w:space="0" w:color="auto"/>
            </w:tcBorders>
            <w:shd w:val="clear" w:color="000000" w:fill="DAEEF3"/>
            <w:vAlign w:val="center"/>
            <w:hideMark/>
          </w:tcPr>
          <w:p w14:paraId="2D180316"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71200</w:t>
            </w:r>
          </w:p>
        </w:tc>
        <w:tc>
          <w:tcPr>
            <w:tcW w:w="9996" w:type="dxa"/>
            <w:tcBorders>
              <w:top w:val="nil"/>
              <w:left w:val="nil"/>
              <w:bottom w:val="single" w:sz="4" w:space="0" w:color="auto"/>
              <w:right w:val="single" w:sz="4" w:space="0" w:color="auto"/>
            </w:tcBorders>
            <w:shd w:val="clear" w:color="000000" w:fill="DAEEF3"/>
            <w:vAlign w:val="center"/>
            <w:hideMark/>
          </w:tcPr>
          <w:p w14:paraId="2F1F2C97" w:rsidR="00FF202D" w:rsidRPr="00FF202D" w:rsidRDefault="00FF202D" w:rsidP="00FF202D">
            <w:pPr>
              <w:spacing w:after="0" w:line="240" w:lineRule="auto"/>
              <w:ind w:firstLineChars="200" w:firstLine="440"/>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a) International consultant for Mid-term Review. Total cost: $24,000.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 xml:space="preserve">b) International consultant for Terminal Evaluation. </w:t>
            </w:r>
            <w:r w:rsidRPr="00FF202D">
              <w:rPr>
                <w:rFonts w:ascii="Times New Roman" w:hAnsi="Times New Roman" w:eastAsia="Times New Roman" w:cs="Times New Roman"/>
                <w:lang w:val="es-MX" w:eastAsia="es-MX"/>
              </w:rPr>
              <w:t>Total cost: $32,000.</w:t>
            </w:r>
          </w:p>
        </w:tc>
        <w:tc>
          <w:tcPr>
            <w:tcW w:w="2631" w:type="dxa"/>
            <w:tcBorders>
              <w:top w:val="nil"/>
              <w:left w:val="nil"/>
              <w:bottom w:val="single" w:sz="4" w:space="0" w:color="auto"/>
              <w:right w:val="single" w:sz="4" w:space="0" w:color="auto"/>
            </w:tcBorders>
            <w:shd w:val="clear" w:color="000000" w:fill="DAEEF3"/>
            <w:noWrap/>
            <w:vAlign w:val="bottom"/>
            <w:hideMark/>
          </w:tcPr>
          <w:p w14:paraId="7C976B71"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56,000 </w:t>
            </w:r>
          </w:p>
        </w:tc>
      </w:tr>
      <w:tr w14:paraId="4582CE54" w:rsidR="00FF202D" w:rsidRPr="00FF202D" w:rsidTr="00FF202D">
        <w:trPr>
          <w:trHeight w:val="6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58E27F0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14</w:t>
            </w:r>
          </w:p>
        </w:tc>
        <w:tc>
          <w:tcPr>
            <w:tcW w:w="1008" w:type="dxa"/>
            <w:tcBorders>
              <w:top w:val="nil"/>
              <w:left w:val="nil"/>
              <w:bottom w:val="single" w:sz="4" w:space="0" w:color="auto"/>
              <w:right w:val="single" w:sz="4" w:space="0" w:color="auto"/>
            </w:tcBorders>
            <w:shd w:val="clear" w:color="000000" w:fill="DAEEF3"/>
            <w:vAlign w:val="center"/>
            <w:hideMark/>
          </w:tcPr>
          <w:p w14:paraId="0875566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71400</w:t>
            </w:r>
          </w:p>
        </w:tc>
        <w:tc>
          <w:tcPr>
            <w:tcW w:w="9996" w:type="dxa"/>
            <w:tcBorders>
              <w:top w:val="nil"/>
              <w:left w:val="nil"/>
              <w:bottom w:val="single" w:sz="4" w:space="0" w:color="auto"/>
              <w:right w:val="single" w:sz="4" w:space="0" w:color="auto"/>
            </w:tcBorders>
            <w:shd w:val="clear" w:color="000000" w:fill="DAEEF3"/>
            <w:vAlign w:val="center"/>
            <w:hideMark/>
          </w:tcPr>
          <w:p w14:paraId="2CAFA82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Project Administrator/Financial Officer: Project M&amp;E activities (70% of the incumbent's time: </w:t>
            </w:r>
          </w:p>
        </w:tc>
        <w:tc>
          <w:tcPr>
            <w:tcW w:w="2631" w:type="dxa"/>
            <w:tcBorders>
              <w:top w:val="nil"/>
              <w:left w:val="nil"/>
              <w:bottom w:val="single" w:sz="4" w:space="0" w:color="auto"/>
              <w:right w:val="single" w:sz="4" w:space="0" w:color="auto"/>
            </w:tcBorders>
            <w:shd w:val="clear" w:color="000000" w:fill="DAEEF3"/>
            <w:noWrap/>
            <w:vAlign w:val="bottom"/>
            <w:hideMark/>
          </w:tcPr>
          <w:p w14:paraId="137D0637"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58,800 </w:t>
            </w:r>
          </w:p>
        </w:tc>
      </w:tr>
      <w:tr w14:paraId="4EE3F751" w:rsidR="00FF202D" w:rsidRPr="00FF202D" w:rsidTr="00FF202D">
        <w:trPr>
          <w:trHeight w:val="12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2C42FAAF"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15</w:t>
            </w:r>
          </w:p>
        </w:tc>
        <w:tc>
          <w:tcPr>
            <w:tcW w:w="1008" w:type="dxa"/>
            <w:tcBorders>
              <w:top w:val="nil"/>
              <w:left w:val="nil"/>
              <w:bottom w:val="single" w:sz="4" w:space="0" w:color="auto"/>
              <w:right w:val="single" w:sz="4" w:space="0" w:color="auto"/>
            </w:tcBorders>
            <w:shd w:val="clear" w:color="000000" w:fill="DAEEF3"/>
            <w:vAlign w:val="center"/>
            <w:hideMark/>
          </w:tcPr>
          <w:p w14:paraId="724CE4BE"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DAEEF3"/>
            <w:vAlign w:val="center"/>
            <w:hideMark/>
          </w:tcPr>
          <w:p w14:paraId="604191D9"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a) Travel costs for Mid-term Review. Total cost: $8,468.</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 xml:space="preserve">b) Travel costs for Terminal  Evaluation. </w:t>
            </w:r>
            <w:r w:rsidRPr="00FF202D">
              <w:rPr>
                <w:rFonts w:ascii="Times New Roman" w:hAnsi="Times New Roman" w:eastAsia="Times New Roman" w:cs="Times New Roman"/>
                <w:lang w:val="es-MX" w:eastAsia="es-MX"/>
              </w:rPr>
              <w:t>Total cost: $8,468.</w:t>
            </w:r>
          </w:p>
        </w:tc>
        <w:tc>
          <w:tcPr>
            <w:tcW w:w="2631" w:type="dxa"/>
            <w:tcBorders>
              <w:top w:val="nil"/>
              <w:left w:val="nil"/>
              <w:bottom w:val="single" w:sz="4" w:space="0" w:color="auto"/>
              <w:right w:val="single" w:sz="4" w:space="0" w:color="auto"/>
            </w:tcBorders>
            <w:shd w:val="clear" w:color="000000" w:fill="DAEEF3"/>
            <w:noWrap/>
            <w:vAlign w:val="bottom"/>
            <w:hideMark/>
          </w:tcPr>
          <w:p w14:paraId="1F28515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16,936 </w:t>
            </w:r>
          </w:p>
        </w:tc>
      </w:tr>
      <w:tr w14:paraId="67F751EB" w:rsidR="00FF202D" w:rsidRPr="00FF202D" w:rsidTr="00FF202D">
        <w:trPr>
          <w:trHeight w:val="3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7EC87A8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16</w:t>
            </w:r>
          </w:p>
        </w:tc>
        <w:tc>
          <w:tcPr>
            <w:tcW w:w="1008" w:type="dxa"/>
            <w:tcBorders>
              <w:top w:val="nil"/>
              <w:left w:val="nil"/>
              <w:bottom w:val="single" w:sz="4" w:space="0" w:color="auto"/>
              <w:right w:val="single" w:sz="4" w:space="0" w:color="auto"/>
            </w:tcBorders>
            <w:shd w:val="clear" w:color="000000" w:fill="DAEEF3"/>
            <w:vAlign w:val="center"/>
            <w:hideMark/>
          </w:tcPr>
          <w:p w14:paraId="1DBD34B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74100</w:t>
            </w:r>
          </w:p>
        </w:tc>
        <w:tc>
          <w:tcPr>
            <w:tcW w:w="9996" w:type="dxa"/>
            <w:tcBorders>
              <w:top w:val="nil"/>
              <w:left w:val="nil"/>
              <w:bottom w:val="single" w:sz="4" w:space="0" w:color="auto"/>
              <w:right w:val="single" w:sz="4" w:space="0" w:color="auto"/>
            </w:tcBorders>
            <w:shd w:val="clear" w:color="000000" w:fill="DAEEF3"/>
            <w:vAlign w:val="center"/>
            <w:hideMark/>
          </w:tcPr>
          <w:p w14:paraId="7CA1F825"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Audits (5). Total cost: $15,000; $3,000/yr.</w:t>
            </w:r>
          </w:p>
        </w:tc>
        <w:tc>
          <w:tcPr>
            <w:tcW w:w="2631" w:type="dxa"/>
            <w:tcBorders>
              <w:top w:val="nil"/>
              <w:left w:val="nil"/>
              <w:bottom w:val="single" w:sz="4" w:space="0" w:color="auto"/>
              <w:right w:val="single" w:sz="4" w:space="0" w:color="auto"/>
            </w:tcBorders>
            <w:shd w:val="clear" w:color="000000" w:fill="DAEEF3"/>
            <w:noWrap/>
            <w:vAlign w:val="bottom"/>
            <w:hideMark/>
          </w:tcPr>
          <w:p w14:paraId="7902460B"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 xml:space="preserve">                15,000 </w:t>
            </w:r>
          </w:p>
        </w:tc>
      </w:tr>
      <w:tr w14:paraId="283A94DF" w:rsidR="00FF202D" w:rsidRPr="00FF202D" w:rsidTr="00FF202D">
        <w:trPr>
          <w:trHeight w:val="9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498C3D0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17</w:t>
            </w:r>
          </w:p>
        </w:tc>
        <w:tc>
          <w:tcPr>
            <w:tcW w:w="1008" w:type="dxa"/>
            <w:tcBorders>
              <w:top w:val="nil"/>
              <w:left w:val="nil"/>
              <w:bottom w:val="single" w:sz="4" w:space="0" w:color="auto"/>
              <w:right w:val="single" w:sz="4" w:space="0" w:color="auto"/>
            </w:tcBorders>
            <w:shd w:val="clear" w:color="000000" w:fill="DAEEF3"/>
            <w:vAlign w:val="center"/>
            <w:hideMark/>
          </w:tcPr>
          <w:p w14:paraId="628F761A"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DAEEF3"/>
            <w:vAlign w:val="center"/>
            <w:hideMark/>
          </w:tcPr>
          <w:p w14:paraId="52445949"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Production and printing costs for review and systematization of lessons learned and best practices reports. Total cost: $5,000; $1,000/yr during 5 years.</w:t>
            </w:r>
          </w:p>
        </w:tc>
        <w:tc>
          <w:tcPr>
            <w:tcW w:w="2631" w:type="dxa"/>
            <w:tcBorders>
              <w:top w:val="nil"/>
              <w:left w:val="nil"/>
              <w:bottom w:val="single" w:sz="4" w:space="0" w:color="auto"/>
              <w:right w:val="single" w:sz="4" w:space="0" w:color="auto"/>
            </w:tcBorders>
            <w:shd w:val="clear" w:color="000000" w:fill="DAEEF3"/>
            <w:noWrap/>
            <w:vAlign w:val="bottom"/>
            <w:hideMark/>
          </w:tcPr>
          <w:p w14:paraId="3D429065"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5,000 </w:t>
            </w:r>
          </w:p>
        </w:tc>
      </w:tr>
      <w:tr w14:paraId="08C8DBB4" w:rsidR="00FF202D" w:rsidRPr="00FF202D" w:rsidTr="00FF202D">
        <w:trPr>
          <w:trHeight w:val="900"/>
        </w:trPr>
        <w:tc>
          <w:tcPr>
            <w:tcW w:w="850" w:type="dxa"/>
            <w:tcBorders>
              <w:top w:val="nil"/>
              <w:left w:val="single" w:sz="4" w:space="0" w:color="auto"/>
              <w:bottom w:val="single" w:sz="4" w:space="0" w:color="auto"/>
              <w:right w:val="single" w:sz="4" w:space="0" w:color="auto"/>
            </w:tcBorders>
            <w:shd w:val="clear" w:color="000000" w:fill="DAEEF3"/>
            <w:noWrap/>
            <w:vAlign w:val="center"/>
            <w:hideMark/>
          </w:tcPr>
          <w:p w14:paraId="2E6570A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18</w:t>
            </w:r>
          </w:p>
        </w:tc>
        <w:tc>
          <w:tcPr>
            <w:tcW w:w="1008" w:type="dxa"/>
            <w:tcBorders>
              <w:top w:val="nil"/>
              <w:left w:val="nil"/>
              <w:bottom w:val="single" w:sz="4" w:space="0" w:color="auto"/>
              <w:right w:val="single" w:sz="4" w:space="0" w:color="auto"/>
            </w:tcBorders>
            <w:shd w:val="clear" w:color="000000" w:fill="DAEEF3"/>
            <w:vAlign w:val="center"/>
            <w:hideMark/>
          </w:tcPr>
          <w:p w14:paraId="30944D3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DAEEF3"/>
            <w:vAlign w:val="center"/>
            <w:hideMark/>
          </w:tcPr>
          <w:p w14:paraId="6F47FBC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 Project Inception Workshop: Total cost: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Project steering meetings. Total cost: $2,500; $500/yr.</w:t>
            </w:r>
          </w:p>
        </w:tc>
        <w:tc>
          <w:tcPr>
            <w:tcW w:w="2631" w:type="dxa"/>
            <w:tcBorders>
              <w:top w:val="nil"/>
              <w:left w:val="nil"/>
              <w:bottom w:val="single" w:sz="4" w:space="0" w:color="auto"/>
              <w:right w:val="single" w:sz="4" w:space="0" w:color="auto"/>
            </w:tcBorders>
            <w:shd w:val="clear" w:color="000000" w:fill="DAEEF3"/>
            <w:noWrap/>
            <w:vAlign w:val="bottom"/>
            <w:hideMark/>
          </w:tcPr>
          <w:p w14:paraId="5FAC176C"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                  </w:t>
            </w:r>
            <w:r w:rsidRPr="00FF202D">
              <w:rPr>
                <w:rFonts w:ascii="Times New Roman" w:hAnsi="Times New Roman" w:eastAsia="Times New Roman" w:cs="Times New Roman"/>
                <w:lang w:val="es-MX" w:eastAsia="es-MX"/>
              </w:rPr>
              <w:t xml:space="preserve">7,500 </w:t>
            </w:r>
          </w:p>
        </w:tc>
      </w:tr>
      <w:tr w14:paraId="3C52C36E" w:rsidR="00FF202D" w:rsidRPr="00FF202D" w:rsidTr="00FF202D">
        <w:trPr>
          <w:trHeight w:val="424"/>
        </w:trPr>
        <w:tc>
          <w:tcPr>
            <w:tcW w:w="14485" w:type="dxa"/>
            <w:gridSpan w:val="4"/>
            <w:tcBorders>
              <w:top w:val="single" w:sz="4" w:space="0" w:color="auto"/>
              <w:left w:val="single" w:sz="4" w:space="0" w:color="auto"/>
              <w:bottom w:val="single" w:sz="4" w:space="0" w:color="auto"/>
              <w:right w:val="nil"/>
            </w:tcBorders>
            <w:shd w:val="clear" w:color="000000" w:fill="FABF8F"/>
            <w:vAlign w:val="bottom"/>
            <w:hideMark/>
          </w:tcPr>
          <w:p w14:paraId="1E88A08C" w:rsidR="00FF202D" w:rsidRPr="00FF202D" w:rsidRDefault="00FF202D" w:rsidP="00FF202D">
            <w:pPr>
              <w:spacing w:after="0" w:line="240" w:lineRule="auto"/>
              <w:jc w:val="center"/>
              <w:rPr>
                <w:rFonts w:ascii="Times New Roman" w:eastAsia="Times New Roman" w:hAnsi="Times New Roman" w:cs="Times New Roman"/>
                <w:b/>
                <w:bCs/>
                <w:color w:val="000000"/>
                <w:lang w:eastAsia="es-MX"/>
              </w:rPr>
            </w:pPr>
            <w:r w:rsidRPr="00FF202D">
              <w:rPr>
                <w:rFonts w:ascii="Times New Roman" w:hAnsi="Times New Roman" w:eastAsia="Times New Roman" w:cs="Times New Roman"/>
                <w:b/>
                <w:bCs/>
                <w:color w:val="000000"/>
                <w:lang w:eastAsia="es-MX"/>
              </w:rPr>
              <w:t>2. Climate resilient SLM practices applied in the Beausejour Watershed to reduce threats adjacent to and upstream of Pas</w:t>
            </w:r>
          </w:p>
        </w:tc>
      </w:tr>
      <w:tr w14:paraId="2F4BF6CF" w:rsidR="00FF202D" w:rsidRPr="00FF202D" w:rsidTr="00FF202D">
        <w:trPr>
          <w:trHeight w:val="300"/>
        </w:trPr>
        <w:tc>
          <w:tcPr>
            <w:tcW w:w="850" w:type="dxa"/>
            <w:tcBorders>
              <w:top w:val="nil"/>
              <w:left w:val="single" w:sz="4" w:space="0" w:color="auto"/>
              <w:bottom w:val="single" w:sz="4" w:space="0" w:color="auto"/>
              <w:right w:val="single" w:sz="4" w:space="0" w:color="auto"/>
            </w:tcBorders>
            <w:shd w:val="clear" w:color="000000" w:fill="FDE9D9"/>
            <w:noWrap/>
            <w:vAlign w:val="center"/>
            <w:hideMark/>
          </w:tcPr>
          <w:p w14:paraId="27A28E01"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Budget Note</w:t>
            </w:r>
          </w:p>
        </w:tc>
        <w:tc>
          <w:tcPr>
            <w:tcW w:w="1008" w:type="dxa"/>
            <w:tcBorders>
              <w:top w:val="nil"/>
              <w:left w:val="nil"/>
              <w:bottom w:val="single" w:sz="4" w:space="0" w:color="auto"/>
              <w:right w:val="single" w:sz="4" w:space="0" w:color="auto"/>
            </w:tcBorders>
            <w:shd w:val="clear" w:color="000000" w:fill="FDE9D9"/>
            <w:noWrap/>
            <w:vAlign w:val="center"/>
            <w:hideMark/>
          </w:tcPr>
          <w:p w14:paraId="36EBE488"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Atlas Code</w:t>
            </w:r>
          </w:p>
        </w:tc>
        <w:tc>
          <w:tcPr>
            <w:tcW w:w="9996" w:type="dxa"/>
            <w:tcBorders>
              <w:top w:val="nil"/>
              <w:left w:val="nil"/>
              <w:bottom w:val="single" w:sz="4" w:space="0" w:color="auto"/>
              <w:right w:val="single" w:sz="4" w:space="0" w:color="auto"/>
            </w:tcBorders>
            <w:shd w:val="clear" w:color="000000" w:fill="FDE9D9"/>
            <w:noWrap/>
            <w:vAlign w:val="center"/>
            <w:hideMark/>
          </w:tcPr>
          <w:p w14:paraId="52DEDED4"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Description</w:t>
            </w:r>
          </w:p>
        </w:tc>
        <w:tc>
          <w:tcPr>
            <w:tcW w:w="2631" w:type="dxa"/>
            <w:tcBorders>
              <w:top w:val="nil"/>
              <w:left w:val="nil"/>
              <w:bottom w:val="single" w:sz="4" w:space="0" w:color="auto"/>
              <w:right w:val="single" w:sz="4" w:space="0" w:color="auto"/>
            </w:tcBorders>
            <w:shd w:val="clear" w:color="000000" w:fill="FDE9D9"/>
            <w:noWrap/>
            <w:vAlign w:val="center"/>
            <w:hideMark/>
          </w:tcPr>
          <w:p w14:paraId="0E75447D" w:rsidR="00FF202D" w:rsidRPr="00FF202D" w:rsidRDefault="00FF202D" w:rsidP="00FF202D">
            <w:pPr>
              <w:spacing w:after="0" w:line="240" w:lineRule="auto"/>
              <w:jc w:val="center"/>
              <w:rPr>
                <w:rFonts w:ascii="Times New Roman" w:eastAsia="Times New Roman" w:hAnsi="Times New Roman" w:cs="Times New Roman"/>
                <w:b/>
                <w:color w:val="000000"/>
                <w:lang w:val="es-MX" w:eastAsia="es-MX"/>
              </w:rPr>
            </w:pPr>
            <w:r w:rsidRPr="00FF202D">
              <w:rPr>
                <w:rFonts w:ascii="Times New Roman" w:hAnsi="Times New Roman" w:eastAsia="Times New Roman" w:cs="Times New Roman"/>
                <w:b/>
                <w:color w:val="000000"/>
                <w:lang w:val="es-MX" w:eastAsia="es-MX"/>
              </w:rPr>
              <w:t>Amount</w:t>
            </w:r>
          </w:p>
        </w:tc>
      </w:tr>
      <w:tr w14:paraId="35D894B2" w:rsidR="00FF202D" w:rsidRPr="00FF202D" w:rsidTr="00EE3DAD">
        <w:trPr>
          <w:trHeight w:val="6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6BF6D0D5"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19</w:t>
            </w:r>
          </w:p>
        </w:tc>
        <w:tc>
          <w:tcPr>
            <w:tcW w:w="1008" w:type="dxa"/>
            <w:tcBorders>
              <w:top w:val="nil"/>
              <w:left w:val="nil"/>
              <w:bottom w:val="single" w:sz="4" w:space="0" w:color="auto"/>
              <w:right w:val="single" w:sz="4" w:space="0" w:color="auto"/>
            </w:tcBorders>
            <w:shd w:val="clear" w:color="000000" w:fill="FDE9D9"/>
            <w:vAlign w:val="center"/>
            <w:hideMark/>
          </w:tcPr>
          <w:p w14:paraId="265972E6"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2297B03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forest policy analyst and public awareness / community outreach specialist: $50,000.</w:t>
            </w:r>
          </w:p>
        </w:tc>
        <w:tc>
          <w:tcPr>
            <w:tcW w:w="2631" w:type="dxa"/>
            <w:tcBorders>
              <w:top w:val="nil"/>
              <w:left w:val="nil"/>
              <w:bottom w:val="single" w:sz="4" w:space="0" w:color="auto"/>
              <w:right w:val="single" w:sz="4" w:space="0" w:color="auto"/>
            </w:tcBorders>
            <w:shd w:val="clear" w:color="000000" w:fill="FDE9D9"/>
            <w:noWrap/>
            <w:vAlign w:val="center"/>
            <w:hideMark/>
          </w:tcPr>
          <w:p w14:paraId="6D34399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40,000</w:t>
            </w:r>
          </w:p>
        </w:tc>
      </w:tr>
      <w:tr w14:paraId="6D454E41"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1D5EB222"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1D75B5E"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7976A18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Documentation:  TEK and Best Management Practices of the ridge to reef project: $8,000.</w:t>
            </w:r>
          </w:p>
        </w:tc>
        <w:tc>
          <w:tcPr>
            <w:tcW w:w="2631" w:type="dxa"/>
            <w:tcBorders>
              <w:top w:val="nil"/>
              <w:left w:val="nil"/>
              <w:bottom w:val="single" w:sz="4" w:space="0" w:color="auto"/>
              <w:right w:val="single" w:sz="4" w:space="0" w:color="auto"/>
            </w:tcBorders>
            <w:shd w:val="clear" w:color="000000" w:fill="FDE9D9"/>
            <w:noWrap/>
            <w:vAlign w:val="center"/>
            <w:hideMark/>
          </w:tcPr>
          <w:p w14:paraId="6F22958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8,000</w:t>
            </w:r>
          </w:p>
        </w:tc>
      </w:tr>
      <w:tr w14:paraId="3349A477" w:rsidR="00FF202D" w:rsidRPr="00FF202D" w:rsidTr="00EE3DAD">
        <w:trPr>
          <w:trHeight w:val="1363"/>
        </w:trPr>
        <w:tc>
          <w:tcPr>
            <w:tcW w:w="850" w:type="dxa"/>
            <w:vMerge/>
            <w:tcBorders>
              <w:top w:val="nil"/>
              <w:left w:val="single" w:sz="4" w:space="0" w:color="auto"/>
              <w:bottom w:val="single" w:sz="4" w:space="0" w:color="000000"/>
              <w:right w:val="single" w:sz="4" w:space="0" w:color="auto"/>
            </w:tcBorders>
            <w:vAlign w:val="center"/>
            <w:hideMark/>
          </w:tcPr>
          <w:p w14:paraId="6DFC9E0B"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FB9F1C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61E3891B"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for:</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Hosting 2 day training seminars (watershed management): $1,200.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Development of a watershed management plan and generating community uptake of plan $34,960.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$36,160.</w:t>
            </w:r>
          </w:p>
        </w:tc>
        <w:tc>
          <w:tcPr>
            <w:tcW w:w="2631" w:type="dxa"/>
            <w:tcBorders>
              <w:top w:val="nil"/>
              <w:left w:val="nil"/>
              <w:bottom w:val="single" w:sz="4" w:space="0" w:color="auto"/>
              <w:right w:val="single" w:sz="4" w:space="0" w:color="auto"/>
            </w:tcBorders>
            <w:shd w:val="clear" w:color="000000" w:fill="FDE9D9"/>
            <w:noWrap/>
            <w:vAlign w:val="center"/>
            <w:hideMark/>
          </w:tcPr>
          <w:p w14:paraId="7ADA8D1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36,160</w:t>
            </w:r>
          </w:p>
        </w:tc>
      </w:tr>
      <w:tr w14:paraId="73F7C741"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76B27918"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2B1F81B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3A926E6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for preparing water quality monitoring manual: $4,000.</w:t>
            </w:r>
          </w:p>
        </w:tc>
        <w:tc>
          <w:tcPr>
            <w:tcW w:w="2631" w:type="dxa"/>
            <w:tcBorders>
              <w:top w:val="nil"/>
              <w:left w:val="nil"/>
              <w:bottom w:val="single" w:sz="4" w:space="0" w:color="auto"/>
              <w:right w:val="single" w:sz="4" w:space="0" w:color="auto"/>
            </w:tcBorders>
            <w:shd w:val="clear" w:color="000000" w:fill="FDE9D9"/>
            <w:noWrap/>
            <w:vAlign w:val="center"/>
            <w:hideMark/>
          </w:tcPr>
          <w:p w14:paraId="67DCAEA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4,000</w:t>
            </w:r>
          </w:p>
        </w:tc>
      </w:tr>
      <w:tr w14:paraId="5AD3A9CC" w:rsidR="00FF202D" w:rsidRPr="00FF202D" w:rsidTr="00EE3DAD">
        <w:trPr>
          <w:trHeight w:val="1801"/>
        </w:trPr>
        <w:tc>
          <w:tcPr>
            <w:tcW w:w="850" w:type="dxa"/>
            <w:vMerge/>
            <w:tcBorders>
              <w:top w:val="nil"/>
              <w:left w:val="single" w:sz="4" w:space="0" w:color="auto"/>
              <w:bottom w:val="single" w:sz="4" w:space="0" w:color="000000"/>
              <w:right w:val="single" w:sz="4" w:space="0" w:color="auto"/>
            </w:tcBorders>
            <w:vAlign w:val="center"/>
            <w:hideMark/>
          </w:tcPr>
          <w:p w14:paraId="71DC9C3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3CE8FBD"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171D5DA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Consultant for: </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Implication of local area land degradation / assessment methodology for pilot area and for generating community uptake: $35,000.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Seminar training for agriculture land  use, extension,  Ministry of Works officers in climate change response issues: $10,000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$45,000</w:t>
            </w:r>
          </w:p>
        </w:tc>
        <w:tc>
          <w:tcPr>
            <w:tcW w:w="2631" w:type="dxa"/>
            <w:tcBorders>
              <w:top w:val="nil"/>
              <w:left w:val="nil"/>
              <w:bottom w:val="single" w:sz="4" w:space="0" w:color="auto"/>
              <w:right w:val="single" w:sz="4" w:space="0" w:color="auto"/>
            </w:tcBorders>
            <w:shd w:val="clear" w:color="000000" w:fill="FDE9D9"/>
            <w:noWrap/>
            <w:vAlign w:val="center"/>
            <w:hideMark/>
          </w:tcPr>
          <w:p w14:paraId="284E31D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45,000</w:t>
            </w:r>
          </w:p>
        </w:tc>
      </w:tr>
      <w:tr w14:paraId="192D5AA1"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4D0390C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72A42C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305B56C5"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public awareness training application of BMP and for conducting posttest / analyzing posttest for effectiveness of outreach / applications: $25,000</w:t>
            </w:r>
          </w:p>
        </w:tc>
        <w:tc>
          <w:tcPr>
            <w:tcW w:w="2631" w:type="dxa"/>
            <w:tcBorders>
              <w:top w:val="nil"/>
              <w:left w:val="nil"/>
              <w:bottom w:val="single" w:sz="4" w:space="0" w:color="auto"/>
              <w:right w:val="single" w:sz="4" w:space="0" w:color="auto"/>
            </w:tcBorders>
            <w:shd w:val="clear" w:color="000000" w:fill="FDE9D9"/>
            <w:noWrap/>
            <w:vAlign w:val="center"/>
            <w:hideMark/>
          </w:tcPr>
          <w:p w14:paraId="7CF703DF"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25,000</w:t>
            </w:r>
          </w:p>
        </w:tc>
      </w:tr>
      <w:tr w14:paraId="4AAA56BD"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2955AD5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C497285"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59820D6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National consultant / knowledge persons for applications of BMP: $31,000</w:t>
            </w:r>
          </w:p>
        </w:tc>
        <w:tc>
          <w:tcPr>
            <w:tcW w:w="2631" w:type="dxa"/>
            <w:tcBorders>
              <w:top w:val="nil"/>
              <w:left w:val="nil"/>
              <w:bottom w:val="single" w:sz="4" w:space="0" w:color="auto"/>
              <w:right w:val="single" w:sz="4" w:space="0" w:color="auto"/>
            </w:tcBorders>
            <w:shd w:val="clear" w:color="000000" w:fill="FDE9D9"/>
            <w:noWrap/>
            <w:vAlign w:val="center"/>
            <w:hideMark/>
          </w:tcPr>
          <w:p w14:paraId="48EFE5C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31,000</w:t>
            </w:r>
          </w:p>
        </w:tc>
      </w:tr>
      <w:tr w14:paraId="31C663DC"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5648853F"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66A95D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3B065B4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for demonstrations of BMP for fertilizer and water treatment applications: $15,500</w:t>
            </w:r>
          </w:p>
        </w:tc>
        <w:tc>
          <w:tcPr>
            <w:tcW w:w="2631" w:type="dxa"/>
            <w:tcBorders>
              <w:top w:val="nil"/>
              <w:left w:val="nil"/>
              <w:bottom w:val="single" w:sz="4" w:space="0" w:color="auto"/>
              <w:right w:val="single" w:sz="4" w:space="0" w:color="auto"/>
            </w:tcBorders>
            <w:shd w:val="clear" w:color="000000" w:fill="FDE9D9"/>
            <w:noWrap/>
            <w:vAlign w:val="center"/>
            <w:hideMark/>
          </w:tcPr>
          <w:p w14:paraId="5C46EEB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15,500</w:t>
            </w:r>
          </w:p>
        </w:tc>
      </w:tr>
      <w:tr w14:paraId="4530C3F8"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706CFDEA"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3CBEED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19A64625"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feasibility study for export opportunity and partnerships of farmers with business entities: $9,000</w:t>
            </w:r>
          </w:p>
        </w:tc>
        <w:tc>
          <w:tcPr>
            <w:tcW w:w="2631" w:type="dxa"/>
            <w:tcBorders>
              <w:top w:val="nil"/>
              <w:left w:val="nil"/>
              <w:bottom w:val="single" w:sz="4" w:space="0" w:color="auto"/>
              <w:right w:val="single" w:sz="4" w:space="0" w:color="auto"/>
            </w:tcBorders>
            <w:shd w:val="clear" w:color="000000" w:fill="FDE9D9"/>
            <w:noWrap/>
            <w:vAlign w:val="center"/>
            <w:hideMark/>
          </w:tcPr>
          <w:p w14:paraId="7B1BCC2F"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9,000</w:t>
            </w:r>
          </w:p>
        </w:tc>
      </w:tr>
      <w:tr w14:paraId="4297AF28"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5F8E0A0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DC88E5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41783656"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Labour and professional services:  Promotion of best management practices to protect at least 210 hectares of livestock 0 impacted lands : $23,000</w:t>
            </w:r>
          </w:p>
        </w:tc>
        <w:tc>
          <w:tcPr>
            <w:tcW w:w="2631" w:type="dxa"/>
            <w:tcBorders>
              <w:top w:val="nil"/>
              <w:left w:val="nil"/>
              <w:bottom w:val="single" w:sz="4" w:space="0" w:color="auto"/>
              <w:right w:val="single" w:sz="4" w:space="0" w:color="auto"/>
            </w:tcBorders>
            <w:shd w:val="clear" w:color="000000" w:fill="FDE9D9"/>
            <w:noWrap/>
            <w:vAlign w:val="center"/>
            <w:hideMark/>
          </w:tcPr>
          <w:p w14:paraId="2A90D94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23,000</w:t>
            </w:r>
          </w:p>
        </w:tc>
      </w:tr>
      <w:tr w14:paraId="38997DB6"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7C830C44"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C59761D"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6B02302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Labour/professional services in support of Sustainable Forest Management (SFM): $36,900</w:t>
            </w:r>
          </w:p>
        </w:tc>
        <w:tc>
          <w:tcPr>
            <w:tcW w:w="2631" w:type="dxa"/>
            <w:tcBorders>
              <w:top w:val="nil"/>
              <w:left w:val="nil"/>
              <w:bottom w:val="single" w:sz="4" w:space="0" w:color="auto"/>
              <w:right w:val="single" w:sz="4" w:space="0" w:color="auto"/>
            </w:tcBorders>
            <w:shd w:val="clear" w:color="000000" w:fill="FDE9D9"/>
            <w:noWrap/>
            <w:vAlign w:val="center"/>
            <w:hideMark/>
          </w:tcPr>
          <w:p w14:paraId="33A19AB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36,900</w:t>
            </w:r>
          </w:p>
        </w:tc>
      </w:tr>
      <w:tr w14:paraId="43FBF880"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7828411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F3C153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7A497E66"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for Forest policy analyst and public awareness / community outreach specialist: $50,000 (6 month assignment)</w:t>
            </w:r>
          </w:p>
        </w:tc>
        <w:tc>
          <w:tcPr>
            <w:tcW w:w="2631" w:type="dxa"/>
            <w:tcBorders>
              <w:top w:val="nil"/>
              <w:left w:val="nil"/>
              <w:bottom w:val="single" w:sz="4" w:space="0" w:color="auto"/>
              <w:right w:val="single" w:sz="4" w:space="0" w:color="auto"/>
            </w:tcBorders>
            <w:shd w:val="clear" w:color="000000" w:fill="FDE9D9"/>
            <w:noWrap/>
            <w:vAlign w:val="center"/>
            <w:hideMark/>
          </w:tcPr>
          <w:p w14:paraId="5406DEF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50,000</w:t>
            </w:r>
          </w:p>
        </w:tc>
      </w:tr>
      <w:tr w14:paraId="2041BD80"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6346F5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17C049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71300</w:t>
            </w:r>
          </w:p>
        </w:tc>
        <w:tc>
          <w:tcPr>
            <w:tcW w:w="9996" w:type="dxa"/>
            <w:tcBorders>
              <w:top w:val="nil"/>
              <w:left w:val="nil"/>
              <w:bottom w:val="single" w:sz="4" w:space="0" w:color="auto"/>
              <w:right w:val="single" w:sz="4" w:space="0" w:color="auto"/>
            </w:tcBorders>
            <w:shd w:val="clear" w:color="000000" w:fill="FDE9D9"/>
            <w:vAlign w:val="center"/>
            <w:hideMark/>
          </w:tcPr>
          <w:p w14:paraId="7C7F9DA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for water treatment laboratory activities: $300</w:t>
            </w:r>
          </w:p>
        </w:tc>
        <w:tc>
          <w:tcPr>
            <w:tcW w:w="2631" w:type="dxa"/>
            <w:tcBorders>
              <w:top w:val="nil"/>
              <w:left w:val="nil"/>
              <w:bottom w:val="single" w:sz="4" w:space="0" w:color="auto"/>
              <w:right w:val="single" w:sz="4" w:space="0" w:color="auto"/>
            </w:tcBorders>
            <w:shd w:val="clear" w:color="000000" w:fill="FDE9D9"/>
            <w:noWrap/>
            <w:vAlign w:val="center"/>
            <w:hideMark/>
          </w:tcPr>
          <w:p w14:paraId="24783ED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300</w:t>
            </w:r>
          </w:p>
        </w:tc>
      </w:tr>
      <w:tr w14:paraId="09F3F726" w:rsidR="00FF202D" w:rsidRPr="00FF202D" w:rsidTr="00EE3DAD">
        <w:trPr>
          <w:trHeight w:val="9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21B32B86"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20</w:t>
            </w:r>
          </w:p>
        </w:tc>
        <w:tc>
          <w:tcPr>
            <w:tcW w:w="1008" w:type="dxa"/>
            <w:tcBorders>
              <w:top w:val="nil"/>
              <w:left w:val="nil"/>
              <w:bottom w:val="single" w:sz="4" w:space="0" w:color="auto"/>
              <w:right w:val="single" w:sz="4" w:space="0" w:color="auto"/>
            </w:tcBorders>
            <w:shd w:val="clear" w:color="000000" w:fill="FDE9D9"/>
            <w:vAlign w:val="center"/>
            <w:hideMark/>
          </w:tcPr>
          <w:p w14:paraId="3637E45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18F3A34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Airfares and DSA / per diem: consultant and Carriacou (On island) Official’s participation in national consultation workshops: $8,370.</w:t>
            </w:r>
          </w:p>
        </w:tc>
        <w:tc>
          <w:tcPr>
            <w:tcW w:w="2631" w:type="dxa"/>
            <w:tcBorders>
              <w:top w:val="nil"/>
              <w:left w:val="nil"/>
              <w:bottom w:val="single" w:sz="4" w:space="0" w:color="auto"/>
              <w:right w:val="single" w:sz="4" w:space="0" w:color="auto"/>
            </w:tcBorders>
            <w:shd w:val="clear" w:color="000000" w:fill="FDE9D9"/>
            <w:noWrap/>
            <w:vAlign w:val="center"/>
            <w:hideMark/>
          </w:tcPr>
          <w:p w14:paraId="4914293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8,370</w:t>
            </w:r>
          </w:p>
        </w:tc>
      </w:tr>
      <w:tr w14:paraId="1DAF4202"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2047E34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019267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5E4B7FAB"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 per diem: CEHI officials attending water quality training sessions: $1,000</w:t>
            </w:r>
          </w:p>
        </w:tc>
        <w:tc>
          <w:tcPr>
            <w:tcW w:w="2631" w:type="dxa"/>
            <w:tcBorders>
              <w:top w:val="nil"/>
              <w:left w:val="nil"/>
              <w:bottom w:val="single" w:sz="4" w:space="0" w:color="auto"/>
              <w:right w:val="single" w:sz="4" w:space="0" w:color="auto"/>
            </w:tcBorders>
            <w:shd w:val="clear" w:color="000000" w:fill="FDE9D9"/>
            <w:noWrap/>
            <w:vAlign w:val="center"/>
            <w:hideMark/>
          </w:tcPr>
          <w:p w14:paraId="22ABEAAF"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w:t>
            </w:r>
          </w:p>
        </w:tc>
      </w:tr>
      <w:tr w14:paraId="6A66ABE1"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2E10AD5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A28499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1C01917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 per diem: three missions of consultant (s) developing watershed management plan: $5,000</w:t>
            </w:r>
          </w:p>
        </w:tc>
        <w:tc>
          <w:tcPr>
            <w:tcW w:w="2631" w:type="dxa"/>
            <w:tcBorders>
              <w:top w:val="nil"/>
              <w:left w:val="nil"/>
              <w:bottom w:val="single" w:sz="4" w:space="0" w:color="auto"/>
              <w:right w:val="single" w:sz="4" w:space="0" w:color="auto"/>
            </w:tcBorders>
            <w:shd w:val="clear" w:color="000000" w:fill="FDE9D9"/>
            <w:noWrap/>
            <w:vAlign w:val="center"/>
            <w:hideMark/>
          </w:tcPr>
          <w:p w14:paraId="65B682A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5,000</w:t>
            </w:r>
          </w:p>
        </w:tc>
      </w:tr>
      <w:tr w14:paraId="399F509F"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4F3B0270"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5B20C7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05CA7D7B"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 per diem: Carriacou and community persons attending workshop on monitoring land degradation mitigation applications: $1,100</w:t>
            </w:r>
          </w:p>
        </w:tc>
        <w:tc>
          <w:tcPr>
            <w:tcW w:w="2631" w:type="dxa"/>
            <w:tcBorders>
              <w:top w:val="nil"/>
              <w:left w:val="nil"/>
              <w:bottom w:val="single" w:sz="4" w:space="0" w:color="auto"/>
              <w:right w:val="single" w:sz="4" w:space="0" w:color="auto"/>
            </w:tcBorders>
            <w:shd w:val="clear" w:color="000000" w:fill="FDE9D9"/>
            <w:noWrap/>
            <w:vAlign w:val="center"/>
            <w:hideMark/>
          </w:tcPr>
          <w:p w14:paraId="445D862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1,100</w:t>
            </w:r>
          </w:p>
        </w:tc>
      </w:tr>
      <w:tr w14:paraId="4E274A78"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2CFC3733"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147425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25E072B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airfare and per diem and transportation for training of resource managers in spatial technologies, asset mapping and identification for BD: $6,300</w:t>
            </w:r>
          </w:p>
        </w:tc>
        <w:tc>
          <w:tcPr>
            <w:tcW w:w="2631" w:type="dxa"/>
            <w:tcBorders>
              <w:top w:val="nil"/>
              <w:left w:val="nil"/>
              <w:bottom w:val="single" w:sz="4" w:space="0" w:color="auto"/>
              <w:right w:val="single" w:sz="4" w:space="0" w:color="auto"/>
            </w:tcBorders>
            <w:shd w:val="clear" w:color="000000" w:fill="FDE9D9"/>
            <w:noWrap/>
            <w:vAlign w:val="center"/>
            <w:hideMark/>
          </w:tcPr>
          <w:p w14:paraId="04F3ED4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6,300</w:t>
            </w:r>
          </w:p>
        </w:tc>
      </w:tr>
      <w:tr w14:paraId="399E22C4"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70C7006"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C21176A"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66FF7C48"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 per diem: for consultant(s) preparing prosecution manual $4,000</w:t>
            </w:r>
          </w:p>
        </w:tc>
        <w:tc>
          <w:tcPr>
            <w:tcW w:w="2631" w:type="dxa"/>
            <w:tcBorders>
              <w:top w:val="nil"/>
              <w:left w:val="nil"/>
              <w:bottom w:val="single" w:sz="4" w:space="0" w:color="auto"/>
              <w:right w:val="single" w:sz="4" w:space="0" w:color="auto"/>
            </w:tcBorders>
            <w:shd w:val="clear" w:color="000000" w:fill="FDE9D9"/>
            <w:noWrap/>
            <w:vAlign w:val="center"/>
            <w:hideMark/>
          </w:tcPr>
          <w:p w14:paraId="3C05313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4,000</w:t>
            </w:r>
          </w:p>
        </w:tc>
      </w:tr>
      <w:tr w14:paraId="7EFC549E"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3EF0F95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74C512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752E075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 per diem and transportation – logistics for farmer exchanges and demonstration good agricultural and soil management practices: $5,500</w:t>
            </w:r>
          </w:p>
        </w:tc>
        <w:tc>
          <w:tcPr>
            <w:tcW w:w="2631" w:type="dxa"/>
            <w:tcBorders>
              <w:top w:val="nil"/>
              <w:left w:val="nil"/>
              <w:bottom w:val="single" w:sz="4" w:space="0" w:color="auto"/>
              <w:right w:val="single" w:sz="4" w:space="0" w:color="auto"/>
            </w:tcBorders>
            <w:shd w:val="clear" w:color="000000" w:fill="FDE9D9"/>
            <w:noWrap/>
            <w:vAlign w:val="center"/>
            <w:hideMark/>
          </w:tcPr>
          <w:p w14:paraId="7127D50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5,500</w:t>
            </w:r>
          </w:p>
        </w:tc>
      </w:tr>
      <w:tr w14:paraId="20E483A2"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295625B0"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4D4EB0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71600</w:t>
            </w:r>
          </w:p>
        </w:tc>
        <w:tc>
          <w:tcPr>
            <w:tcW w:w="9996" w:type="dxa"/>
            <w:tcBorders>
              <w:top w:val="nil"/>
              <w:left w:val="nil"/>
              <w:bottom w:val="single" w:sz="4" w:space="0" w:color="auto"/>
              <w:right w:val="single" w:sz="4" w:space="0" w:color="auto"/>
            </w:tcBorders>
            <w:shd w:val="clear" w:color="000000" w:fill="FDE9D9"/>
            <w:vAlign w:val="center"/>
            <w:hideMark/>
          </w:tcPr>
          <w:p w14:paraId="78640D1A"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Travel expenses for farmers and MNIB participants in product marketing initiatives: $2,300</w:t>
            </w:r>
          </w:p>
        </w:tc>
        <w:tc>
          <w:tcPr>
            <w:tcW w:w="2631" w:type="dxa"/>
            <w:tcBorders>
              <w:top w:val="nil"/>
              <w:left w:val="nil"/>
              <w:bottom w:val="single" w:sz="4" w:space="0" w:color="auto"/>
              <w:right w:val="single" w:sz="4" w:space="0" w:color="auto"/>
            </w:tcBorders>
            <w:shd w:val="clear" w:color="000000" w:fill="FDE9D9"/>
            <w:noWrap/>
            <w:vAlign w:val="center"/>
            <w:hideMark/>
          </w:tcPr>
          <w:p w14:paraId="0CE1974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2,300</w:t>
            </w:r>
          </w:p>
        </w:tc>
      </w:tr>
      <w:tr w14:paraId="18519A6F" w:rsidR="00FF202D" w:rsidRPr="00FF202D" w:rsidTr="00EE3DAD">
        <w:trPr>
          <w:trHeight w:val="9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0C69E5C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21</w:t>
            </w:r>
          </w:p>
        </w:tc>
        <w:tc>
          <w:tcPr>
            <w:tcW w:w="1008" w:type="dxa"/>
            <w:tcBorders>
              <w:top w:val="nil"/>
              <w:left w:val="nil"/>
              <w:bottom w:val="single" w:sz="4" w:space="0" w:color="auto"/>
              <w:right w:val="single" w:sz="4" w:space="0" w:color="auto"/>
            </w:tcBorders>
            <w:shd w:val="clear" w:color="000000" w:fill="FDE9D9"/>
            <w:vAlign w:val="center"/>
            <w:hideMark/>
          </w:tcPr>
          <w:p w14:paraId="1E0DF67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FDE9D9"/>
            <w:vAlign w:val="center"/>
            <w:hideMark/>
          </w:tcPr>
          <w:p w14:paraId="4856457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Consultants fees: training of agriculture / fisheries staff in applications of spatial technologies for BD conservation: $18,000</w:t>
            </w:r>
          </w:p>
        </w:tc>
        <w:tc>
          <w:tcPr>
            <w:tcW w:w="2631" w:type="dxa"/>
            <w:tcBorders>
              <w:top w:val="nil"/>
              <w:left w:val="nil"/>
              <w:bottom w:val="single" w:sz="4" w:space="0" w:color="auto"/>
              <w:right w:val="single" w:sz="4" w:space="0" w:color="auto"/>
            </w:tcBorders>
            <w:shd w:val="clear" w:color="000000" w:fill="FDE9D9"/>
            <w:noWrap/>
            <w:vAlign w:val="center"/>
            <w:hideMark/>
          </w:tcPr>
          <w:p w14:paraId="493AEEC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18,000</w:t>
            </w:r>
          </w:p>
        </w:tc>
      </w:tr>
      <w:tr w14:paraId="15EB4B27"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1DFFF77F"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33A83B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FDE9D9"/>
            <w:vAlign w:val="center"/>
            <w:hideMark/>
          </w:tcPr>
          <w:p w14:paraId="1492FBB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Facilitation of data collection / analysis / reforestation for pre-test of baseline knowledge, attitudes and practice in good agricultural practices: $14,000</w:t>
            </w:r>
          </w:p>
        </w:tc>
        <w:tc>
          <w:tcPr>
            <w:tcW w:w="2631" w:type="dxa"/>
            <w:tcBorders>
              <w:top w:val="nil"/>
              <w:left w:val="nil"/>
              <w:bottom w:val="single" w:sz="4" w:space="0" w:color="auto"/>
              <w:right w:val="single" w:sz="4" w:space="0" w:color="auto"/>
            </w:tcBorders>
            <w:shd w:val="clear" w:color="000000" w:fill="FDE9D9"/>
            <w:noWrap/>
            <w:vAlign w:val="center"/>
            <w:hideMark/>
          </w:tcPr>
          <w:p w14:paraId="1A678E5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14,000</w:t>
            </w:r>
          </w:p>
        </w:tc>
      </w:tr>
      <w:tr w14:paraId="5106BB0F"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308262E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2BB1871E"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FDE9D9"/>
            <w:vAlign w:val="center"/>
            <w:hideMark/>
          </w:tcPr>
          <w:p w14:paraId="3822178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Assessment and response study of grazing impacts at six communities: $8,000</w:t>
            </w:r>
          </w:p>
        </w:tc>
        <w:tc>
          <w:tcPr>
            <w:tcW w:w="2631" w:type="dxa"/>
            <w:tcBorders>
              <w:top w:val="nil"/>
              <w:left w:val="nil"/>
              <w:bottom w:val="single" w:sz="4" w:space="0" w:color="auto"/>
              <w:right w:val="single" w:sz="4" w:space="0" w:color="auto"/>
            </w:tcBorders>
            <w:shd w:val="clear" w:color="000000" w:fill="FDE9D9"/>
            <w:noWrap/>
            <w:vAlign w:val="center"/>
            <w:hideMark/>
          </w:tcPr>
          <w:p w14:paraId="5650F45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8,000</w:t>
            </w:r>
          </w:p>
        </w:tc>
      </w:tr>
      <w:tr w14:paraId="5CF7BFF2"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06BE92D"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057719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72100</w:t>
            </w:r>
          </w:p>
        </w:tc>
        <w:tc>
          <w:tcPr>
            <w:tcW w:w="9996" w:type="dxa"/>
            <w:tcBorders>
              <w:top w:val="nil"/>
              <w:left w:val="nil"/>
              <w:bottom w:val="single" w:sz="4" w:space="0" w:color="auto"/>
              <w:right w:val="single" w:sz="4" w:space="0" w:color="auto"/>
            </w:tcBorders>
            <w:shd w:val="clear" w:color="000000" w:fill="FDE9D9"/>
            <w:vAlign w:val="center"/>
            <w:hideMark/>
          </w:tcPr>
          <w:p w14:paraId="13FFB5F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Contract services: construction of 250 brood chambers and provision of field-based training: $41,500</w:t>
            </w:r>
          </w:p>
        </w:tc>
        <w:tc>
          <w:tcPr>
            <w:tcW w:w="2631" w:type="dxa"/>
            <w:tcBorders>
              <w:top w:val="nil"/>
              <w:left w:val="nil"/>
              <w:bottom w:val="single" w:sz="4" w:space="0" w:color="auto"/>
              <w:right w:val="single" w:sz="4" w:space="0" w:color="auto"/>
            </w:tcBorders>
            <w:shd w:val="clear" w:color="000000" w:fill="FDE9D9"/>
            <w:noWrap/>
            <w:vAlign w:val="center"/>
            <w:hideMark/>
          </w:tcPr>
          <w:p w14:paraId="0F76067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41,500</w:t>
            </w:r>
          </w:p>
        </w:tc>
      </w:tr>
      <w:tr w14:paraId="56A2D1FB" w:rsidR="00FF202D" w:rsidRPr="00FF202D" w:rsidTr="00EE3DAD">
        <w:trPr>
          <w:trHeight w:val="12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4426CBD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22</w:t>
            </w:r>
          </w:p>
        </w:tc>
        <w:tc>
          <w:tcPr>
            <w:tcW w:w="1008" w:type="dxa"/>
            <w:tcBorders>
              <w:top w:val="nil"/>
              <w:left w:val="nil"/>
              <w:bottom w:val="single" w:sz="4" w:space="0" w:color="auto"/>
              <w:right w:val="single" w:sz="4" w:space="0" w:color="auto"/>
            </w:tcBorders>
            <w:shd w:val="clear" w:color="000000" w:fill="FDE9D9"/>
            <w:vAlign w:val="center"/>
            <w:hideMark/>
          </w:tcPr>
          <w:p w14:paraId="0919AA3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22464E6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Demonstration equipment for training of resource managers from units of ministry of agriculture in the application of technologies related to identification and mapping for biodiversity conservation: $10,000</w:t>
            </w:r>
          </w:p>
        </w:tc>
        <w:tc>
          <w:tcPr>
            <w:tcW w:w="2631" w:type="dxa"/>
            <w:tcBorders>
              <w:top w:val="nil"/>
              <w:left w:val="nil"/>
              <w:bottom w:val="single" w:sz="4" w:space="0" w:color="auto"/>
              <w:right w:val="single" w:sz="4" w:space="0" w:color="auto"/>
            </w:tcBorders>
            <w:shd w:val="clear" w:color="000000" w:fill="FDE9D9"/>
            <w:noWrap/>
            <w:vAlign w:val="center"/>
            <w:hideMark/>
          </w:tcPr>
          <w:p w14:paraId="23AF961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10,000</w:t>
            </w:r>
          </w:p>
        </w:tc>
      </w:tr>
      <w:tr w14:paraId="2B75B290"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66C45C2D"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4FA424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2AD9BC7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 Shredder ($1,500) and multiple equipment for demonstrations of field interventions by extension staff ($2,500): Total cost  $4,000</w:t>
            </w:r>
          </w:p>
        </w:tc>
        <w:tc>
          <w:tcPr>
            <w:tcW w:w="2631" w:type="dxa"/>
            <w:tcBorders>
              <w:top w:val="nil"/>
              <w:left w:val="nil"/>
              <w:bottom w:val="single" w:sz="4" w:space="0" w:color="auto"/>
              <w:right w:val="single" w:sz="4" w:space="0" w:color="auto"/>
            </w:tcBorders>
            <w:shd w:val="clear" w:color="000000" w:fill="FDE9D9"/>
            <w:noWrap/>
            <w:vAlign w:val="center"/>
            <w:hideMark/>
          </w:tcPr>
          <w:p w14:paraId="44D1FF0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4,000</w:t>
            </w:r>
          </w:p>
        </w:tc>
      </w:tr>
      <w:tr w14:paraId="10492AEF"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6A66176C"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D4DFF5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78E8E632"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Procurement of raw materials and equipment for branding labels and packaging for agri-products / marketing: $20,000.</w:t>
            </w:r>
          </w:p>
        </w:tc>
        <w:tc>
          <w:tcPr>
            <w:tcW w:w="2631" w:type="dxa"/>
            <w:tcBorders>
              <w:top w:val="nil"/>
              <w:left w:val="nil"/>
              <w:bottom w:val="single" w:sz="4" w:space="0" w:color="auto"/>
              <w:right w:val="single" w:sz="4" w:space="0" w:color="auto"/>
            </w:tcBorders>
            <w:shd w:val="clear" w:color="000000" w:fill="FDE9D9"/>
            <w:noWrap/>
            <w:vAlign w:val="center"/>
            <w:hideMark/>
          </w:tcPr>
          <w:p w14:paraId="2C0BEBB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20,000</w:t>
            </w:r>
          </w:p>
        </w:tc>
      </w:tr>
      <w:tr w14:paraId="41BD64AC"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0EEE40C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8F0FCD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5CA583E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Purchase of equipment / hardware including small boat for water quality / quantity monitor: $89,244</w:t>
            </w:r>
          </w:p>
        </w:tc>
        <w:tc>
          <w:tcPr>
            <w:tcW w:w="2631" w:type="dxa"/>
            <w:tcBorders>
              <w:top w:val="nil"/>
              <w:left w:val="nil"/>
              <w:bottom w:val="single" w:sz="4" w:space="0" w:color="auto"/>
              <w:right w:val="single" w:sz="4" w:space="0" w:color="auto"/>
            </w:tcBorders>
            <w:shd w:val="clear" w:color="000000" w:fill="FDE9D9"/>
            <w:noWrap/>
            <w:vAlign w:val="center"/>
            <w:hideMark/>
          </w:tcPr>
          <w:p w14:paraId="6F08A226"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89,244</w:t>
            </w:r>
          </w:p>
        </w:tc>
      </w:tr>
      <w:tr w14:paraId="1B9E2B45"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53D1EC4A"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78E1BAE"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4C97EDE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Purchase of five firefighting backpacks to be used by first responders $5,000.00</w:t>
            </w:r>
          </w:p>
        </w:tc>
        <w:tc>
          <w:tcPr>
            <w:tcW w:w="2631" w:type="dxa"/>
            <w:tcBorders>
              <w:top w:val="nil"/>
              <w:left w:val="nil"/>
              <w:bottom w:val="single" w:sz="4" w:space="0" w:color="auto"/>
              <w:right w:val="single" w:sz="4" w:space="0" w:color="auto"/>
            </w:tcBorders>
            <w:shd w:val="clear" w:color="000000" w:fill="FDE9D9"/>
            <w:noWrap/>
            <w:vAlign w:val="center"/>
            <w:hideMark/>
          </w:tcPr>
          <w:p w14:paraId="6AFE762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5,000</w:t>
            </w:r>
          </w:p>
        </w:tc>
      </w:tr>
      <w:tr w14:paraId="4E79F1B7"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133F7233"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F2A39A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1EDD12FB"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Chairs / tables: inter-sectoral committee: $1,500</w:t>
            </w:r>
          </w:p>
        </w:tc>
        <w:tc>
          <w:tcPr>
            <w:tcW w:w="2631" w:type="dxa"/>
            <w:tcBorders>
              <w:top w:val="nil"/>
              <w:left w:val="nil"/>
              <w:bottom w:val="single" w:sz="4" w:space="0" w:color="auto"/>
              <w:right w:val="single" w:sz="4" w:space="0" w:color="auto"/>
            </w:tcBorders>
            <w:shd w:val="clear" w:color="000000" w:fill="FDE9D9"/>
            <w:noWrap/>
            <w:vAlign w:val="center"/>
            <w:hideMark/>
          </w:tcPr>
          <w:p w14:paraId="1430151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1,500</w:t>
            </w:r>
          </w:p>
        </w:tc>
      </w:tr>
      <w:tr w14:paraId="60789A74"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18FEB41D"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0D5350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72200</w:t>
            </w:r>
          </w:p>
        </w:tc>
        <w:tc>
          <w:tcPr>
            <w:tcW w:w="9996" w:type="dxa"/>
            <w:tcBorders>
              <w:top w:val="nil"/>
              <w:left w:val="nil"/>
              <w:bottom w:val="single" w:sz="4" w:space="0" w:color="auto"/>
              <w:right w:val="single" w:sz="4" w:space="0" w:color="auto"/>
            </w:tcBorders>
            <w:shd w:val="clear" w:color="000000" w:fill="FDE9D9"/>
            <w:vAlign w:val="center"/>
            <w:hideMark/>
          </w:tcPr>
          <w:p w14:paraId="68EE06A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Laboratory equipment and supplies for water monitoring program: $16,932</w:t>
            </w:r>
          </w:p>
        </w:tc>
        <w:tc>
          <w:tcPr>
            <w:tcW w:w="2631" w:type="dxa"/>
            <w:tcBorders>
              <w:top w:val="nil"/>
              <w:left w:val="nil"/>
              <w:bottom w:val="single" w:sz="4" w:space="0" w:color="auto"/>
              <w:right w:val="single" w:sz="4" w:space="0" w:color="auto"/>
            </w:tcBorders>
            <w:shd w:val="clear" w:color="000000" w:fill="FDE9D9"/>
            <w:noWrap/>
            <w:vAlign w:val="center"/>
            <w:hideMark/>
          </w:tcPr>
          <w:p w14:paraId="363EC54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16,932</w:t>
            </w:r>
          </w:p>
        </w:tc>
      </w:tr>
      <w:tr w14:paraId="542ACE92" w:rsidR="00FF202D" w:rsidRPr="00FF202D" w:rsidTr="00EE3DAD">
        <w:trPr>
          <w:trHeight w:val="6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03503B9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23</w:t>
            </w:r>
          </w:p>
        </w:tc>
        <w:tc>
          <w:tcPr>
            <w:tcW w:w="1008" w:type="dxa"/>
            <w:tcBorders>
              <w:top w:val="nil"/>
              <w:left w:val="nil"/>
              <w:bottom w:val="single" w:sz="4" w:space="0" w:color="auto"/>
              <w:right w:val="single" w:sz="4" w:space="0" w:color="auto"/>
            </w:tcBorders>
            <w:shd w:val="clear" w:color="000000" w:fill="FDE9D9"/>
            <w:vAlign w:val="center"/>
            <w:hideMark/>
          </w:tcPr>
          <w:p w14:paraId="7BC7A80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72300</w:t>
            </w:r>
          </w:p>
        </w:tc>
        <w:tc>
          <w:tcPr>
            <w:tcW w:w="9996" w:type="dxa"/>
            <w:tcBorders>
              <w:top w:val="nil"/>
              <w:left w:val="nil"/>
              <w:bottom w:val="single" w:sz="4" w:space="0" w:color="auto"/>
              <w:right w:val="single" w:sz="4" w:space="0" w:color="auto"/>
            </w:tcBorders>
            <w:shd w:val="clear" w:color="000000" w:fill="FDE9D9"/>
            <w:vAlign w:val="center"/>
            <w:hideMark/>
          </w:tcPr>
          <w:p w14:paraId="24A6AF6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Promotional material and supply of plants and other resources: $76,450</w:t>
            </w:r>
          </w:p>
        </w:tc>
        <w:tc>
          <w:tcPr>
            <w:tcW w:w="2631" w:type="dxa"/>
            <w:tcBorders>
              <w:top w:val="nil"/>
              <w:left w:val="nil"/>
              <w:bottom w:val="single" w:sz="4" w:space="0" w:color="auto"/>
              <w:right w:val="single" w:sz="4" w:space="0" w:color="auto"/>
            </w:tcBorders>
            <w:shd w:val="clear" w:color="000000" w:fill="FDE9D9"/>
            <w:noWrap/>
            <w:vAlign w:val="center"/>
            <w:hideMark/>
          </w:tcPr>
          <w:p w14:paraId="1DC53C3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76,450</w:t>
            </w:r>
          </w:p>
        </w:tc>
      </w:tr>
      <w:tr w14:paraId="2F26EEF9"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3905B53A"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860C74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72300</w:t>
            </w:r>
          </w:p>
        </w:tc>
        <w:tc>
          <w:tcPr>
            <w:tcW w:w="9996" w:type="dxa"/>
            <w:tcBorders>
              <w:top w:val="nil"/>
              <w:left w:val="nil"/>
              <w:bottom w:val="single" w:sz="4" w:space="0" w:color="auto"/>
              <w:right w:val="single" w:sz="4" w:space="0" w:color="auto"/>
            </w:tcBorders>
            <w:shd w:val="clear" w:color="000000" w:fill="FDE9D9"/>
            <w:vAlign w:val="center"/>
            <w:hideMark/>
          </w:tcPr>
          <w:p w14:paraId="4FC0FCB3"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Resource materials and stationery ($3,000) and supply of improved breeds (bees) ($2,000). Total cost $5,000</w:t>
            </w:r>
          </w:p>
        </w:tc>
        <w:tc>
          <w:tcPr>
            <w:tcW w:w="2631" w:type="dxa"/>
            <w:tcBorders>
              <w:top w:val="nil"/>
              <w:left w:val="nil"/>
              <w:bottom w:val="single" w:sz="4" w:space="0" w:color="auto"/>
              <w:right w:val="single" w:sz="4" w:space="0" w:color="auto"/>
            </w:tcBorders>
            <w:shd w:val="clear" w:color="000000" w:fill="FDE9D9"/>
            <w:noWrap/>
            <w:vAlign w:val="center"/>
            <w:hideMark/>
          </w:tcPr>
          <w:p w14:paraId="0A1E636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5,000</w:t>
            </w:r>
          </w:p>
        </w:tc>
      </w:tr>
      <w:tr w14:paraId="66A0A3A2"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13346390"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2C8A0E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72300</w:t>
            </w:r>
          </w:p>
        </w:tc>
        <w:tc>
          <w:tcPr>
            <w:tcW w:w="9996" w:type="dxa"/>
            <w:tcBorders>
              <w:top w:val="nil"/>
              <w:left w:val="nil"/>
              <w:bottom w:val="single" w:sz="4" w:space="0" w:color="auto"/>
              <w:right w:val="single" w:sz="4" w:space="0" w:color="auto"/>
            </w:tcBorders>
            <w:shd w:val="clear" w:color="000000" w:fill="FDE9D9"/>
            <w:vAlign w:val="center"/>
            <w:hideMark/>
          </w:tcPr>
          <w:p w14:paraId="0C162BC9"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Provision of $4,500 seed plants ($1,700) material inputs and supplies ($48,500): Total cost $50,200</w:t>
            </w:r>
          </w:p>
        </w:tc>
        <w:tc>
          <w:tcPr>
            <w:tcW w:w="2631" w:type="dxa"/>
            <w:tcBorders>
              <w:top w:val="nil"/>
              <w:left w:val="nil"/>
              <w:bottom w:val="single" w:sz="4" w:space="0" w:color="auto"/>
              <w:right w:val="single" w:sz="4" w:space="0" w:color="auto"/>
            </w:tcBorders>
            <w:shd w:val="clear" w:color="000000" w:fill="FDE9D9"/>
            <w:noWrap/>
            <w:vAlign w:val="center"/>
            <w:hideMark/>
          </w:tcPr>
          <w:p w14:paraId="14938FA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50,200</w:t>
            </w:r>
          </w:p>
        </w:tc>
      </w:tr>
      <w:tr w14:paraId="4E097F31" w:rsidR="00FF202D" w:rsidRPr="00FF202D" w:rsidTr="00EE3DAD">
        <w:trPr>
          <w:trHeight w:val="30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277AEC5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24</w:t>
            </w:r>
          </w:p>
        </w:tc>
        <w:tc>
          <w:tcPr>
            <w:tcW w:w="1008" w:type="dxa"/>
            <w:tcBorders>
              <w:top w:val="nil"/>
              <w:left w:val="nil"/>
              <w:bottom w:val="single" w:sz="4" w:space="0" w:color="auto"/>
              <w:right w:val="single" w:sz="4" w:space="0" w:color="auto"/>
            </w:tcBorders>
            <w:shd w:val="clear" w:color="000000" w:fill="FDE9D9"/>
            <w:vAlign w:val="center"/>
            <w:hideMark/>
          </w:tcPr>
          <w:p w14:paraId="33B1EDA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24F713D8"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Stationery: national stakeholders workshop: $200</w:t>
            </w:r>
          </w:p>
        </w:tc>
        <w:tc>
          <w:tcPr>
            <w:tcW w:w="2631" w:type="dxa"/>
            <w:tcBorders>
              <w:top w:val="nil"/>
              <w:left w:val="nil"/>
              <w:bottom w:val="single" w:sz="4" w:space="0" w:color="auto"/>
              <w:right w:val="single" w:sz="4" w:space="0" w:color="auto"/>
            </w:tcBorders>
            <w:shd w:val="clear" w:color="000000" w:fill="FDE9D9"/>
            <w:noWrap/>
            <w:vAlign w:val="center"/>
            <w:hideMark/>
          </w:tcPr>
          <w:p w14:paraId="73D7DB3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200</w:t>
            </w:r>
          </w:p>
        </w:tc>
      </w:tr>
      <w:tr w14:paraId="02D0E5B1"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7C98B02D"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C81BC4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3747D83E"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Prints (50) and stationery supply for watershed management plan (draft): $650</w:t>
            </w:r>
          </w:p>
        </w:tc>
        <w:tc>
          <w:tcPr>
            <w:tcW w:w="2631" w:type="dxa"/>
            <w:tcBorders>
              <w:top w:val="nil"/>
              <w:left w:val="nil"/>
              <w:bottom w:val="single" w:sz="4" w:space="0" w:color="auto"/>
              <w:right w:val="single" w:sz="4" w:space="0" w:color="auto"/>
            </w:tcBorders>
            <w:shd w:val="clear" w:color="000000" w:fill="FDE9D9"/>
            <w:noWrap/>
            <w:vAlign w:val="center"/>
            <w:hideMark/>
          </w:tcPr>
          <w:p w14:paraId="5535A458"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650</w:t>
            </w:r>
          </w:p>
        </w:tc>
      </w:tr>
      <w:tr w14:paraId="1836405D"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579A2285"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61D2F4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16A9A75C"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Stationery supply for training of extension persons: $300</w:t>
            </w:r>
          </w:p>
        </w:tc>
        <w:tc>
          <w:tcPr>
            <w:tcW w:w="2631" w:type="dxa"/>
            <w:tcBorders>
              <w:top w:val="nil"/>
              <w:left w:val="nil"/>
              <w:bottom w:val="single" w:sz="4" w:space="0" w:color="auto"/>
              <w:right w:val="single" w:sz="4" w:space="0" w:color="auto"/>
            </w:tcBorders>
            <w:shd w:val="clear" w:color="000000" w:fill="FDE9D9"/>
            <w:noWrap/>
            <w:vAlign w:val="center"/>
            <w:hideMark/>
          </w:tcPr>
          <w:p w14:paraId="6459649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300</w:t>
            </w:r>
          </w:p>
        </w:tc>
      </w:tr>
      <w:tr w14:paraId="774A76D1"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1990E268"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45FF8B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42AA20E6"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Stationery supply: $300</w:t>
            </w:r>
          </w:p>
        </w:tc>
        <w:tc>
          <w:tcPr>
            <w:tcW w:w="2631" w:type="dxa"/>
            <w:tcBorders>
              <w:top w:val="nil"/>
              <w:left w:val="nil"/>
              <w:bottom w:val="single" w:sz="4" w:space="0" w:color="auto"/>
              <w:right w:val="single" w:sz="4" w:space="0" w:color="auto"/>
            </w:tcBorders>
            <w:shd w:val="clear" w:color="000000" w:fill="FDE9D9"/>
            <w:noWrap/>
            <w:vAlign w:val="center"/>
            <w:hideMark/>
          </w:tcPr>
          <w:p w14:paraId="57E11D2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300</w:t>
            </w:r>
          </w:p>
        </w:tc>
      </w:tr>
      <w:tr w14:paraId="3E6D2910"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132698BC"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44A4D6D"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3EE047B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 Resource material and stationery for climate change impacts, mitigation and adaptation response strategies: $1,100</w:t>
            </w:r>
          </w:p>
        </w:tc>
        <w:tc>
          <w:tcPr>
            <w:tcW w:w="2631" w:type="dxa"/>
            <w:tcBorders>
              <w:top w:val="nil"/>
              <w:left w:val="nil"/>
              <w:bottom w:val="single" w:sz="4" w:space="0" w:color="auto"/>
              <w:right w:val="single" w:sz="4" w:space="0" w:color="auto"/>
            </w:tcBorders>
            <w:shd w:val="clear" w:color="000000" w:fill="FDE9D9"/>
            <w:noWrap/>
            <w:vAlign w:val="center"/>
            <w:hideMark/>
          </w:tcPr>
          <w:p w14:paraId="3FE1B32D"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1,100</w:t>
            </w:r>
          </w:p>
        </w:tc>
      </w:tr>
      <w:tr w14:paraId="6298760A"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0B712502"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7CD1EFA"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42798A8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Stationery and printing for posttest evaluation of effectiveness of public awareness campaign: $1,000</w:t>
            </w:r>
          </w:p>
        </w:tc>
        <w:tc>
          <w:tcPr>
            <w:tcW w:w="2631" w:type="dxa"/>
            <w:tcBorders>
              <w:top w:val="nil"/>
              <w:left w:val="nil"/>
              <w:bottom w:val="single" w:sz="4" w:space="0" w:color="auto"/>
              <w:right w:val="single" w:sz="4" w:space="0" w:color="auto"/>
            </w:tcBorders>
            <w:shd w:val="clear" w:color="000000" w:fill="FDE9D9"/>
            <w:noWrap/>
            <w:vAlign w:val="center"/>
            <w:hideMark/>
          </w:tcPr>
          <w:p w14:paraId="045DD28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w:t>
            </w:r>
          </w:p>
        </w:tc>
      </w:tr>
      <w:tr w14:paraId="3B458E27"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6076D14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3140DDF"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0A49834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Stationery and resource materials: training farmers in export marketing: $250</w:t>
            </w:r>
          </w:p>
        </w:tc>
        <w:tc>
          <w:tcPr>
            <w:tcW w:w="2631" w:type="dxa"/>
            <w:tcBorders>
              <w:top w:val="nil"/>
              <w:left w:val="nil"/>
              <w:bottom w:val="single" w:sz="4" w:space="0" w:color="auto"/>
              <w:right w:val="single" w:sz="4" w:space="0" w:color="auto"/>
            </w:tcBorders>
            <w:shd w:val="clear" w:color="000000" w:fill="FDE9D9"/>
            <w:noWrap/>
            <w:vAlign w:val="center"/>
            <w:hideMark/>
          </w:tcPr>
          <w:p w14:paraId="462695E5"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250</w:t>
            </w:r>
          </w:p>
        </w:tc>
      </w:tr>
      <w:tr w14:paraId="38FDAE22"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654CC67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2BDE212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75162B7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Stationery supplies for intersectoral committee: $1,000</w:t>
            </w:r>
          </w:p>
        </w:tc>
        <w:tc>
          <w:tcPr>
            <w:tcW w:w="2631" w:type="dxa"/>
            <w:tcBorders>
              <w:top w:val="nil"/>
              <w:left w:val="nil"/>
              <w:bottom w:val="single" w:sz="4" w:space="0" w:color="auto"/>
              <w:right w:val="single" w:sz="4" w:space="0" w:color="auto"/>
            </w:tcBorders>
            <w:shd w:val="clear" w:color="000000" w:fill="FDE9D9"/>
            <w:noWrap/>
            <w:vAlign w:val="center"/>
            <w:hideMark/>
          </w:tcPr>
          <w:p w14:paraId="336DDF9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w:t>
            </w:r>
          </w:p>
        </w:tc>
      </w:tr>
      <w:tr w14:paraId="57921E64"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6CE7F5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47FCFC6"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4F710B14"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Resource material for trainees / resource managers: $1,200</w:t>
            </w:r>
          </w:p>
        </w:tc>
        <w:tc>
          <w:tcPr>
            <w:tcW w:w="2631" w:type="dxa"/>
            <w:tcBorders>
              <w:top w:val="nil"/>
              <w:left w:val="nil"/>
              <w:bottom w:val="single" w:sz="4" w:space="0" w:color="auto"/>
              <w:right w:val="single" w:sz="4" w:space="0" w:color="auto"/>
            </w:tcBorders>
            <w:shd w:val="clear" w:color="000000" w:fill="FDE9D9"/>
            <w:noWrap/>
            <w:vAlign w:val="center"/>
            <w:hideMark/>
          </w:tcPr>
          <w:p w14:paraId="058EFBE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1,200</w:t>
            </w:r>
          </w:p>
        </w:tc>
      </w:tr>
      <w:tr w14:paraId="578CCC73"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72E885F0"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1B71FE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72500</w:t>
            </w:r>
          </w:p>
        </w:tc>
        <w:tc>
          <w:tcPr>
            <w:tcW w:w="9996" w:type="dxa"/>
            <w:tcBorders>
              <w:top w:val="nil"/>
              <w:left w:val="nil"/>
              <w:bottom w:val="single" w:sz="4" w:space="0" w:color="auto"/>
              <w:right w:val="single" w:sz="4" w:space="0" w:color="auto"/>
            </w:tcBorders>
            <w:shd w:val="clear" w:color="000000" w:fill="FDE9D9"/>
            <w:vAlign w:val="center"/>
            <w:hideMark/>
          </w:tcPr>
          <w:p w14:paraId="6B67981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Rental of IT equipment and stationery supply: $2,100</w:t>
            </w:r>
          </w:p>
        </w:tc>
        <w:tc>
          <w:tcPr>
            <w:tcW w:w="2631" w:type="dxa"/>
            <w:tcBorders>
              <w:top w:val="nil"/>
              <w:left w:val="nil"/>
              <w:bottom w:val="single" w:sz="4" w:space="0" w:color="auto"/>
              <w:right w:val="single" w:sz="4" w:space="0" w:color="auto"/>
            </w:tcBorders>
            <w:shd w:val="clear" w:color="000000" w:fill="FDE9D9"/>
            <w:noWrap/>
            <w:vAlign w:val="center"/>
            <w:hideMark/>
          </w:tcPr>
          <w:p w14:paraId="12D3EC9A"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2,100</w:t>
            </w:r>
          </w:p>
        </w:tc>
      </w:tr>
      <w:tr w14:paraId="4D0FC13A" w:rsidR="00FF202D" w:rsidRPr="00FF202D" w:rsidTr="00EE3DAD">
        <w:trPr>
          <w:trHeight w:val="600"/>
        </w:trPr>
        <w:tc>
          <w:tcPr>
            <w:tcW w:w="850" w:type="dxa"/>
            <w:tcBorders>
              <w:top w:val="nil"/>
              <w:left w:val="single" w:sz="4" w:space="0" w:color="auto"/>
              <w:bottom w:val="nil"/>
              <w:right w:val="single" w:sz="4" w:space="0" w:color="auto"/>
            </w:tcBorders>
            <w:shd w:val="clear" w:color="000000" w:fill="FDE9D9"/>
            <w:noWrap/>
            <w:vAlign w:val="center"/>
            <w:hideMark/>
          </w:tcPr>
          <w:p w14:paraId="5ED46AD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25</w:t>
            </w:r>
          </w:p>
        </w:tc>
        <w:tc>
          <w:tcPr>
            <w:tcW w:w="1008" w:type="dxa"/>
            <w:tcBorders>
              <w:top w:val="nil"/>
              <w:left w:val="nil"/>
              <w:bottom w:val="single" w:sz="4" w:space="0" w:color="auto"/>
              <w:right w:val="single" w:sz="4" w:space="0" w:color="auto"/>
            </w:tcBorders>
            <w:shd w:val="clear" w:color="000000" w:fill="FDE9D9"/>
            <w:vAlign w:val="center"/>
            <w:hideMark/>
          </w:tcPr>
          <w:p w14:paraId="701E800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74100</w:t>
            </w:r>
          </w:p>
        </w:tc>
        <w:tc>
          <w:tcPr>
            <w:tcW w:w="9996" w:type="dxa"/>
            <w:tcBorders>
              <w:top w:val="nil"/>
              <w:left w:val="nil"/>
              <w:bottom w:val="single" w:sz="4" w:space="0" w:color="auto"/>
              <w:right w:val="single" w:sz="4" w:space="0" w:color="auto"/>
            </w:tcBorders>
            <w:shd w:val="clear" w:color="000000" w:fill="FDE9D9"/>
            <w:vAlign w:val="center"/>
            <w:hideMark/>
          </w:tcPr>
          <w:p w14:paraId="34350EA1"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development of prosecution manual for SLM, SFM conservation enforcement: $21,000</w:t>
            </w:r>
          </w:p>
        </w:tc>
        <w:tc>
          <w:tcPr>
            <w:tcW w:w="2631" w:type="dxa"/>
            <w:tcBorders>
              <w:top w:val="nil"/>
              <w:left w:val="nil"/>
              <w:bottom w:val="single" w:sz="4" w:space="0" w:color="auto"/>
              <w:right w:val="single" w:sz="4" w:space="0" w:color="auto"/>
            </w:tcBorders>
            <w:shd w:val="clear" w:color="000000" w:fill="FDE9D9"/>
            <w:noWrap/>
            <w:vAlign w:val="center"/>
            <w:hideMark/>
          </w:tcPr>
          <w:p w14:paraId="5626669B"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21,000</w:t>
            </w:r>
          </w:p>
        </w:tc>
      </w:tr>
      <w:tr w14:paraId="3AE2E675" w:rsidR="00FF202D" w:rsidRPr="00FF202D" w:rsidTr="00EE3DAD">
        <w:trPr>
          <w:trHeight w:val="300"/>
        </w:trPr>
        <w:tc>
          <w:tcPr>
            <w:tcW w:w="850"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14:paraId="33309EE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26</w:t>
            </w:r>
          </w:p>
        </w:tc>
        <w:tc>
          <w:tcPr>
            <w:tcW w:w="1008" w:type="dxa"/>
            <w:tcBorders>
              <w:top w:val="nil"/>
              <w:left w:val="nil"/>
              <w:bottom w:val="single" w:sz="4" w:space="0" w:color="auto"/>
              <w:right w:val="single" w:sz="4" w:space="0" w:color="auto"/>
            </w:tcBorders>
            <w:shd w:val="clear" w:color="000000" w:fill="FDE9D9"/>
            <w:vAlign w:val="center"/>
            <w:hideMark/>
          </w:tcPr>
          <w:p w14:paraId="74D1A5F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651560AA"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Promotional materials, editing design etc.: $8,800</w:t>
            </w:r>
          </w:p>
        </w:tc>
        <w:tc>
          <w:tcPr>
            <w:tcW w:w="2631" w:type="dxa"/>
            <w:tcBorders>
              <w:top w:val="nil"/>
              <w:left w:val="nil"/>
              <w:bottom w:val="single" w:sz="4" w:space="0" w:color="auto"/>
              <w:right w:val="single" w:sz="4" w:space="0" w:color="auto"/>
            </w:tcBorders>
            <w:shd w:val="clear" w:color="000000" w:fill="FDE9D9"/>
            <w:noWrap/>
            <w:vAlign w:val="center"/>
            <w:hideMark/>
          </w:tcPr>
          <w:p w14:paraId="113F652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8,000</w:t>
            </w:r>
          </w:p>
        </w:tc>
      </w:tr>
      <w:tr w14:paraId="775FC0AE" w:rsidR="00FF202D" w:rsidRPr="00FF202D" w:rsidTr="00EE3DAD">
        <w:trPr>
          <w:trHeight w:val="6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04CB9133"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7A0831C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32EA05B2"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Publication costs for 200 copies at watershed management plan: $3,000</w:t>
            </w:r>
          </w:p>
        </w:tc>
        <w:tc>
          <w:tcPr>
            <w:tcW w:w="2631" w:type="dxa"/>
            <w:tcBorders>
              <w:top w:val="nil"/>
              <w:left w:val="nil"/>
              <w:bottom w:val="single" w:sz="4" w:space="0" w:color="auto"/>
              <w:right w:val="single" w:sz="4" w:space="0" w:color="auto"/>
            </w:tcBorders>
            <w:shd w:val="clear" w:color="000000" w:fill="FDE9D9"/>
            <w:noWrap/>
            <w:vAlign w:val="center"/>
            <w:hideMark/>
          </w:tcPr>
          <w:p w14:paraId="19F0163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3,000</w:t>
            </w:r>
          </w:p>
        </w:tc>
      </w:tr>
      <w:tr w14:paraId="37BF6F15" w:rsidR="00FF202D" w:rsidRPr="00FF202D" w:rsidTr="00EE3DAD">
        <w:trPr>
          <w:trHeight w:val="6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548614A6"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BD3ABFA"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50831176"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Printing, stationery for production of prosecutors manual: $2,500</w:t>
            </w:r>
          </w:p>
        </w:tc>
        <w:tc>
          <w:tcPr>
            <w:tcW w:w="2631" w:type="dxa"/>
            <w:tcBorders>
              <w:top w:val="nil"/>
              <w:left w:val="nil"/>
              <w:bottom w:val="single" w:sz="4" w:space="0" w:color="auto"/>
              <w:right w:val="single" w:sz="4" w:space="0" w:color="auto"/>
            </w:tcBorders>
            <w:shd w:val="clear" w:color="000000" w:fill="FDE9D9"/>
            <w:noWrap/>
            <w:vAlign w:val="center"/>
            <w:hideMark/>
          </w:tcPr>
          <w:p w14:paraId="2B5BB67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2,500</w:t>
            </w:r>
          </w:p>
        </w:tc>
      </w:tr>
      <w:tr w14:paraId="11FDB058" w:rsidR="00FF202D" w:rsidRPr="00FF202D" w:rsidTr="00EE3DAD">
        <w:trPr>
          <w:trHeight w:val="6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6DB2C13B"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F49CD4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0F3C414B"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Medial print and stationery cost: public awareness campaign: $12,000</w:t>
            </w:r>
          </w:p>
        </w:tc>
        <w:tc>
          <w:tcPr>
            <w:tcW w:w="2631" w:type="dxa"/>
            <w:tcBorders>
              <w:top w:val="nil"/>
              <w:left w:val="nil"/>
              <w:bottom w:val="single" w:sz="4" w:space="0" w:color="auto"/>
              <w:right w:val="single" w:sz="4" w:space="0" w:color="auto"/>
            </w:tcBorders>
            <w:shd w:val="clear" w:color="000000" w:fill="FDE9D9"/>
            <w:noWrap/>
            <w:vAlign w:val="center"/>
            <w:hideMark/>
          </w:tcPr>
          <w:p w14:paraId="004EFEC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12,000</w:t>
            </w:r>
          </w:p>
        </w:tc>
      </w:tr>
      <w:tr w14:paraId="779EA9B6" w:rsidR="00FF202D" w:rsidRPr="00FF202D" w:rsidTr="00EE3DAD">
        <w:trPr>
          <w:trHeight w:val="6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4EA6C8F5"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24D9425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39514BD0"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Public / disseminate 1000 copies of final traditional knowledge / BMP document $4,000</w:t>
            </w:r>
          </w:p>
        </w:tc>
        <w:tc>
          <w:tcPr>
            <w:tcW w:w="2631" w:type="dxa"/>
            <w:tcBorders>
              <w:top w:val="nil"/>
              <w:left w:val="nil"/>
              <w:bottom w:val="single" w:sz="4" w:space="0" w:color="auto"/>
              <w:right w:val="single" w:sz="4" w:space="0" w:color="auto"/>
            </w:tcBorders>
            <w:shd w:val="clear" w:color="000000" w:fill="FDE9D9"/>
            <w:noWrap/>
            <w:vAlign w:val="center"/>
            <w:hideMark/>
          </w:tcPr>
          <w:p w14:paraId="6854E6B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4,000</w:t>
            </w:r>
          </w:p>
        </w:tc>
      </w:tr>
      <w:tr w14:paraId="6FAFF019" w:rsidR="00FF202D" w:rsidRPr="00FF202D" w:rsidTr="00EE3DAD">
        <w:trPr>
          <w:trHeight w:val="600"/>
        </w:trPr>
        <w:tc>
          <w:tcPr>
            <w:tcW w:w="850" w:type="dxa"/>
            <w:vMerge/>
            <w:tcBorders>
              <w:top w:val="single" w:sz="4" w:space="0" w:color="auto"/>
              <w:left w:val="single" w:sz="4" w:space="0" w:color="auto"/>
              <w:bottom w:val="single" w:sz="4" w:space="0" w:color="000000"/>
              <w:right w:val="single" w:sz="4" w:space="0" w:color="auto"/>
            </w:tcBorders>
            <w:vAlign w:val="center"/>
            <w:hideMark/>
          </w:tcPr>
          <w:p w14:paraId="59BA0515"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C6586D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74200</w:t>
            </w:r>
          </w:p>
        </w:tc>
        <w:tc>
          <w:tcPr>
            <w:tcW w:w="9996" w:type="dxa"/>
            <w:tcBorders>
              <w:top w:val="nil"/>
              <w:left w:val="nil"/>
              <w:bottom w:val="single" w:sz="4" w:space="0" w:color="auto"/>
              <w:right w:val="single" w:sz="4" w:space="0" w:color="auto"/>
            </w:tcBorders>
            <w:shd w:val="clear" w:color="000000" w:fill="FDE9D9"/>
            <w:vAlign w:val="center"/>
            <w:hideMark/>
          </w:tcPr>
          <w:p w14:paraId="2FA59DE7"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Communications of MNNIB and farmers for marketing engagements: $500</w:t>
            </w:r>
          </w:p>
        </w:tc>
        <w:tc>
          <w:tcPr>
            <w:tcW w:w="2631" w:type="dxa"/>
            <w:tcBorders>
              <w:top w:val="nil"/>
              <w:left w:val="nil"/>
              <w:bottom w:val="single" w:sz="4" w:space="0" w:color="auto"/>
              <w:right w:val="single" w:sz="4" w:space="0" w:color="auto"/>
            </w:tcBorders>
            <w:shd w:val="clear" w:color="000000" w:fill="FDE9D9"/>
            <w:noWrap/>
            <w:vAlign w:val="center"/>
            <w:hideMark/>
          </w:tcPr>
          <w:p w14:paraId="374E115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500</w:t>
            </w:r>
          </w:p>
        </w:tc>
      </w:tr>
      <w:tr w14:paraId="5C71234A" w:rsidR="00FF202D" w:rsidRPr="00FF202D" w:rsidTr="00EE3DAD">
        <w:trPr>
          <w:trHeight w:val="600"/>
        </w:trPr>
        <w:tc>
          <w:tcPr>
            <w:tcW w:w="850" w:type="dxa"/>
            <w:tcBorders>
              <w:top w:val="nil"/>
              <w:left w:val="single" w:sz="4" w:space="0" w:color="auto"/>
              <w:bottom w:val="single" w:sz="4" w:space="0" w:color="auto"/>
              <w:right w:val="single" w:sz="4" w:space="0" w:color="auto"/>
            </w:tcBorders>
            <w:shd w:val="clear" w:color="000000" w:fill="FDE9D9"/>
            <w:noWrap/>
            <w:vAlign w:val="center"/>
            <w:hideMark/>
          </w:tcPr>
          <w:p w14:paraId="70585142"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27</w:t>
            </w:r>
          </w:p>
        </w:tc>
        <w:tc>
          <w:tcPr>
            <w:tcW w:w="1008" w:type="dxa"/>
            <w:tcBorders>
              <w:top w:val="nil"/>
              <w:left w:val="nil"/>
              <w:bottom w:val="single" w:sz="4" w:space="0" w:color="auto"/>
              <w:right w:val="single" w:sz="4" w:space="0" w:color="auto"/>
            </w:tcBorders>
            <w:shd w:val="clear" w:color="000000" w:fill="FDE9D9"/>
            <w:vAlign w:val="center"/>
            <w:hideMark/>
          </w:tcPr>
          <w:p w14:paraId="4EDEFF3D"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74500</w:t>
            </w:r>
          </w:p>
        </w:tc>
        <w:tc>
          <w:tcPr>
            <w:tcW w:w="9996" w:type="dxa"/>
            <w:tcBorders>
              <w:top w:val="nil"/>
              <w:left w:val="nil"/>
              <w:bottom w:val="single" w:sz="4" w:space="0" w:color="auto"/>
              <w:right w:val="single" w:sz="4" w:space="0" w:color="auto"/>
            </w:tcBorders>
            <w:shd w:val="clear" w:color="000000" w:fill="FDE9D9"/>
            <w:vAlign w:val="center"/>
            <w:hideMark/>
          </w:tcPr>
          <w:p w14:paraId="34231CB3"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Enhanced management for Mt. St. Catherine TPA: $10,289</w:t>
            </w:r>
          </w:p>
        </w:tc>
        <w:tc>
          <w:tcPr>
            <w:tcW w:w="2631" w:type="dxa"/>
            <w:tcBorders>
              <w:top w:val="nil"/>
              <w:left w:val="nil"/>
              <w:bottom w:val="single" w:sz="4" w:space="0" w:color="auto"/>
              <w:right w:val="single" w:sz="4" w:space="0" w:color="auto"/>
            </w:tcBorders>
            <w:shd w:val="clear" w:color="000000" w:fill="FDE9D9"/>
            <w:noWrap/>
            <w:vAlign w:val="center"/>
            <w:hideMark/>
          </w:tcPr>
          <w:p w14:paraId="0B43AF7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10,289</w:t>
            </w:r>
          </w:p>
        </w:tc>
      </w:tr>
      <w:tr w14:paraId="05CD0F3E" w:rsidR="00FF202D" w:rsidRPr="00FF202D" w:rsidTr="00EE3DAD">
        <w:trPr>
          <w:trHeight w:val="2110"/>
        </w:trPr>
        <w:tc>
          <w:tcPr>
            <w:tcW w:w="85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14:paraId="707B208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28</w:t>
            </w:r>
          </w:p>
        </w:tc>
        <w:tc>
          <w:tcPr>
            <w:tcW w:w="1008" w:type="dxa"/>
            <w:tcBorders>
              <w:top w:val="nil"/>
              <w:left w:val="nil"/>
              <w:bottom w:val="single" w:sz="4" w:space="0" w:color="auto"/>
              <w:right w:val="single" w:sz="4" w:space="0" w:color="auto"/>
            </w:tcBorders>
            <w:shd w:val="clear" w:color="000000" w:fill="FDE9D9"/>
            <w:vAlign w:val="center"/>
            <w:hideMark/>
          </w:tcPr>
          <w:p w14:paraId="46C8C08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63D6C64A"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 Consultant fees ($1,000) planting materials ($23,000) materials inputs in support of labour and professional services ($20,000), stationery and other materials ($300) for training in sustainable rangeland management: $44,300 (total cost)</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Venue / catering cost for training of livestock farmers in sustainable practices in rangeland management $1,300.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Total cost: $45,600</w:t>
            </w:r>
          </w:p>
        </w:tc>
        <w:tc>
          <w:tcPr>
            <w:tcW w:w="2631" w:type="dxa"/>
            <w:tcBorders>
              <w:top w:val="nil"/>
              <w:left w:val="nil"/>
              <w:bottom w:val="single" w:sz="4" w:space="0" w:color="auto"/>
              <w:right w:val="single" w:sz="4" w:space="0" w:color="auto"/>
            </w:tcBorders>
            <w:shd w:val="clear" w:color="000000" w:fill="FDE9D9"/>
            <w:vAlign w:val="center"/>
            <w:hideMark/>
          </w:tcPr>
          <w:p w14:paraId="3C0E1EEC" w:rsidR="00FF202D" w:rsidRPr="00FF202D" w:rsidRDefault="00FF202D" w:rsidP="00EE3DAD">
            <w:pPr>
              <w:spacing w:after="0" w:line="240" w:lineRule="auto"/>
              <w:ind w:firstLineChars="200" w:firstLine="440"/>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45600</w:t>
            </w:r>
          </w:p>
        </w:tc>
      </w:tr>
      <w:tr w14:paraId="52C68D31"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CC64D98"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195CA1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3580F4E3"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Training of resource managers / extension officers in good agricultural practices: $2,000</w:t>
            </w:r>
          </w:p>
        </w:tc>
        <w:tc>
          <w:tcPr>
            <w:tcW w:w="2631" w:type="dxa"/>
            <w:tcBorders>
              <w:top w:val="nil"/>
              <w:left w:val="nil"/>
              <w:bottom w:val="single" w:sz="4" w:space="0" w:color="auto"/>
              <w:right w:val="single" w:sz="4" w:space="0" w:color="auto"/>
            </w:tcBorders>
            <w:shd w:val="clear" w:color="000000" w:fill="FDE9D9"/>
            <w:vAlign w:val="center"/>
            <w:hideMark/>
          </w:tcPr>
          <w:p w14:paraId="4DCF8CCB" w:rsidR="00FF202D" w:rsidRPr="00FF202D" w:rsidRDefault="00FF202D" w:rsidP="00EE3DAD">
            <w:pPr>
              <w:spacing w:after="0" w:line="240" w:lineRule="auto"/>
              <w:ind w:firstLineChars="200" w:firstLine="440"/>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2000</w:t>
            </w:r>
          </w:p>
        </w:tc>
      </w:tr>
      <w:tr w14:paraId="0306B7CD" w:rsidR="00FF202D" w:rsidRPr="00FF202D" w:rsidTr="00EE3DAD">
        <w:trPr>
          <w:trHeight w:val="1099"/>
        </w:trPr>
        <w:tc>
          <w:tcPr>
            <w:tcW w:w="850" w:type="dxa"/>
            <w:vMerge/>
            <w:tcBorders>
              <w:top w:val="nil"/>
              <w:left w:val="single" w:sz="4" w:space="0" w:color="auto"/>
              <w:bottom w:val="single" w:sz="4" w:space="0" w:color="000000"/>
              <w:right w:val="single" w:sz="4" w:space="0" w:color="auto"/>
            </w:tcBorders>
            <w:vAlign w:val="center"/>
            <w:hideMark/>
          </w:tcPr>
          <w:p w14:paraId="3714D9F6"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1340E75"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400BE1AE" w:rsidR="00FF202D" w:rsidRPr="00FF202D" w:rsidRDefault="00FF202D" w:rsidP="00C0393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Training workshops:</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a. Training of extension officers in agricultural practices: $5,000</w:t>
            </w:r>
            <w:r w:rsidRPr="00FF202D">
              <w:rPr>
                <w:rFonts w:ascii="Times New Roman" w:hAnsi="Times New Roman" w:eastAsia="Times New Roman" w:cs="Times New Roman"/>
                <w:lang w:eastAsia="es-MX"/>
              </w:rPr>
              <w:br/>
            </w:r>
            <w:r w:rsidRPr="00FF202D">
              <w:rPr>
                <w:rFonts w:ascii="Times New Roman" w:hAnsi="Times New Roman" w:eastAsia="Times New Roman" w:cs="Times New Roman"/>
                <w:lang w:eastAsia="es-MX"/>
              </w:rPr>
              <w:t>b. Training for applications of good agricultural practices: $300</w:t>
            </w:r>
          </w:p>
        </w:tc>
        <w:tc>
          <w:tcPr>
            <w:tcW w:w="2631" w:type="dxa"/>
            <w:tcBorders>
              <w:top w:val="nil"/>
              <w:left w:val="nil"/>
              <w:bottom w:val="single" w:sz="4" w:space="0" w:color="auto"/>
              <w:right w:val="single" w:sz="4" w:space="0" w:color="auto"/>
            </w:tcBorders>
            <w:shd w:val="clear" w:color="000000" w:fill="FDE9D9"/>
            <w:vAlign w:val="center"/>
            <w:hideMark/>
          </w:tcPr>
          <w:p w14:paraId="00D63C42" w:rsidR="00FF202D" w:rsidRPr="00FF202D" w:rsidRDefault="00FF202D" w:rsidP="00EE3DAD">
            <w:pPr>
              <w:spacing w:after="0" w:line="240" w:lineRule="auto"/>
              <w:ind w:firstLineChars="200" w:firstLine="440"/>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5300</w:t>
            </w:r>
          </w:p>
        </w:tc>
      </w:tr>
      <w:tr w14:paraId="5F5CFFFE" w:rsidR="00FF202D" w:rsidRPr="00FF202D" w:rsidTr="00EE3DAD">
        <w:trPr>
          <w:trHeight w:val="1500"/>
        </w:trPr>
        <w:tc>
          <w:tcPr>
            <w:tcW w:w="850" w:type="dxa"/>
            <w:vMerge/>
            <w:tcBorders>
              <w:top w:val="nil"/>
              <w:left w:val="single" w:sz="4" w:space="0" w:color="auto"/>
              <w:bottom w:val="single" w:sz="4" w:space="0" w:color="000000"/>
              <w:right w:val="single" w:sz="4" w:space="0" w:color="auto"/>
            </w:tcBorders>
            <w:vAlign w:val="center"/>
            <w:hideMark/>
          </w:tcPr>
          <w:p w14:paraId="1F8A9D9B"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0E23EB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33E60FDE" w:rsidR="00FF202D" w:rsidRPr="00B11FC2"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 xml:space="preserve">Host seven community-based workshop / consultation to review / update NFP ($3,140) to validate report on NFP ($1,150) to host five national consultations on finalized draft legislation and SROs ($3,850). </w:t>
            </w:r>
            <w:r w:rsidRPr="00B11FC2">
              <w:rPr>
                <w:rFonts w:ascii="Times New Roman" w:hAnsi="Times New Roman" w:eastAsia="Times New Roman" w:cs="Times New Roman"/>
                <w:lang w:eastAsia="es-MX"/>
              </w:rPr>
              <w:t>Total cost $8,140</w:t>
            </w:r>
          </w:p>
        </w:tc>
        <w:tc>
          <w:tcPr>
            <w:tcW w:w="2631" w:type="dxa"/>
            <w:tcBorders>
              <w:top w:val="nil"/>
              <w:left w:val="nil"/>
              <w:bottom w:val="single" w:sz="4" w:space="0" w:color="auto"/>
              <w:right w:val="single" w:sz="4" w:space="0" w:color="auto"/>
            </w:tcBorders>
            <w:shd w:val="clear" w:color="000000" w:fill="FDE9D9"/>
            <w:noWrap/>
            <w:vAlign w:val="center"/>
            <w:hideMark/>
          </w:tcPr>
          <w:p w14:paraId="5E87BCE4"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8,140</w:t>
            </w:r>
          </w:p>
        </w:tc>
      </w:tr>
      <w:tr w14:paraId="6C3C1D7F"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0E575C8B"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3B805A2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7CC079F0"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Engagement / training of intersectoral committee: $7,950</w:t>
            </w:r>
          </w:p>
        </w:tc>
        <w:tc>
          <w:tcPr>
            <w:tcW w:w="2631" w:type="dxa"/>
            <w:tcBorders>
              <w:top w:val="nil"/>
              <w:left w:val="nil"/>
              <w:bottom w:val="single" w:sz="4" w:space="0" w:color="auto"/>
              <w:right w:val="single" w:sz="4" w:space="0" w:color="auto"/>
            </w:tcBorders>
            <w:shd w:val="clear" w:color="000000" w:fill="FDE9D9"/>
            <w:noWrap/>
            <w:vAlign w:val="center"/>
            <w:hideMark/>
          </w:tcPr>
          <w:p w14:paraId="218F750D"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7,950</w:t>
            </w:r>
          </w:p>
        </w:tc>
      </w:tr>
      <w:tr w14:paraId="1DA5BB99"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78660A57"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A6293D9"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7B9BF460"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Engagements for generating a watershed management plan for Beausejour watershed: $4,100</w:t>
            </w:r>
          </w:p>
        </w:tc>
        <w:tc>
          <w:tcPr>
            <w:tcW w:w="2631" w:type="dxa"/>
            <w:tcBorders>
              <w:top w:val="nil"/>
              <w:left w:val="nil"/>
              <w:bottom w:val="single" w:sz="4" w:space="0" w:color="auto"/>
              <w:right w:val="single" w:sz="4" w:space="0" w:color="auto"/>
            </w:tcBorders>
            <w:shd w:val="clear" w:color="000000" w:fill="FDE9D9"/>
            <w:noWrap/>
            <w:vAlign w:val="center"/>
            <w:hideMark/>
          </w:tcPr>
          <w:p w14:paraId="3D7EF2E6"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4,100</w:t>
            </w:r>
          </w:p>
        </w:tc>
      </w:tr>
      <w:tr w14:paraId="47671DD2"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05A7156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7B08F4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453F6206"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Development of national system for assessing and mapping land degradation monitoringLD processes and consolidating information systems and protocols: $4,800</w:t>
            </w:r>
          </w:p>
        </w:tc>
        <w:tc>
          <w:tcPr>
            <w:tcW w:w="2631" w:type="dxa"/>
            <w:tcBorders>
              <w:top w:val="nil"/>
              <w:left w:val="nil"/>
              <w:bottom w:val="single" w:sz="4" w:space="0" w:color="auto"/>
              <w:right w:val="single" w:sz="4" w:space="0" w:color="auto"/>
            </w:tcBorders>
            <w:shd w:val="clear" w:color="000000" w:fill="FDE9D9"/>
            <w:noWrap/>
            <w:vAlign w:val="center"/>
            <w:hideMark/>
          </w:tcPr>
          <w:p w14:paraId="258EA73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4,800</w:t>
            </w:r>
          </w:p>
        </w:tc>
      </w:tr>
      <w:tr w14:paraId="21828FD0"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26EA00BA"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5B7306F6"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532E225E"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Consultant fees and support: training 25 resource managers in BD asset identification and mapping in the pilot area: $18,300.</w:t>
            </w:r>
          </w:p>
        </w:tc>
        <w:tc>
          <w:tcPr>
            <w:tcW w:w="2631" w:type="dxa"/>
            <w:tcBorders>
              <w:top w:val="nil"/>
              <w:left w:val="nil"/>
              <w:bottom w:val="single" w:sz="4" w:space="0" w:color="auto"/>
              <w:right w:val="single" w:sz="4" w:space="0" w:color="auto"/>
            </w:tcBorders>
            <w:shd w:val="clear" w:color="000000" w:fill="FDE9D9"/>
            <w:noWrap/>
            <w:vAlign w:val="center"/>
            <w:hideMark/>
          </w:tcPr>
          <w:p w14:paraId="2D88719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18,300</w:t>
            </w:r>
          </w:p>
        </w:tc>
      </w:tr>
      <w:tr w14:paraId="2AD85C1E"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3D10FEE1"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6F584D75"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6B81BF04"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Facilities rental for product inspection; certification processing, product  formulation etc.:  $5,600</w:t>
            </w:r>
          </w:p>
        </w:tc>
        <w:tc>
          <w:tcPr>
            <w:tcW w:w="2631" w:type="dxa"/>
            <w:tcBorders>
              <w:top w:val="nil"/>
              <w:left w:val="nil"/>
              <w:bottom w:val="single" w:sz="4" w:space="0" w:color="auto"/>
              <w:right w:val="single" w:sz="4" w:space="0" w:color="auto"/>
            </w:tcBorders>
            <w:shd w:val="clear" w:color="000000" w:fill="FDE9D9"/>
            <w:noWrap/>
            <w:vAlign w:val="center"/>
            <w:hideMark/>
          </w:tcPr>
          <w:p w14:paraId="654E2EEC"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5,600</w:t>
            </w:r>
          </w:p>
        </w:tc>
      </w:tr>
      <w:tr w14:paraId="389B1623" w:rsidR="00FF202D" w:rsidRPr="00FF202D" w:rsidTr="00EE3DAD">
        <w:trPr>
          <w:trHeight w:val="933"/>
        </w:trPr>
        <w:tc>
          <w:tcPr>
            <w:tcW w:w="850" w:type="dxa"/>
            <w:vMerge/>
            <w:tcBorders>
              <w:top w:val="nil"/>
              <w:left w:val="single" w:sz="4" w:space="0" w:color="auto"/>
              <w:bottom w:val="single" w:sz="4" w:space="0" w:color="000000"/>
              <w:right w:val="single" w:sz="4" w:space="0" w:color="auto"/>
            </w:tcBorders>
            <w:vAlign w:val="center"/>
            <w:hideMark/>
          </w:tcPr>
          <w:p w14:paraId="7885F69F"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C59A52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2ECF61A5"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Training workshops for agriculture / fishers personnel in ARC, GIS, Google mapping software for BD Conservation, focusing  on endangered and endemic species: $10,000</w:t>
            </w:r>
          </w:p>
        </w:tc>
        <w:tc>
          <w:tcPr>
            <w:tcW w:w="2631" w:type="dxa"/>
            <w:tcBorders>
              <w:top w:val="nil"/>
              <w:left w:val="nil"/>
              <w:bottom w:val="single" w:sz="4" w:space="0" w:color="auto"/>
              <w:right w:val="single" w:sz="4" w:space="0" w:color="auto"/>
            </w:tcBorders>
            <w:shd w:val="clear" w:color="000000" w:fill="FDE9D9"/>
            <w:noWrap/>
            <w:vAlign w:val="center"/>
            <w:hideMark/>
          </w:tcPr>
          <w:p w14:paraId="57F11152"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10,000</w:t>
            </w:r>
          </w:p>
        </w:tc>
      </w:tr>
      <w:tr w14:paraId="3CE685AF"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0F761289"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AF8EF5F"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559B5FCE"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Venue and catering costs: training in good agricultural practices: $4,440</w:t>
            </w:r>
          </w:p>
        </w:tc>
        <w:tc>
          <w:tcPr>
            <w:tcW w:w="2631" w:type="dxa"/>
            <w:tcBorders>
              <w:top w:val="nil"/>
              <w:left w:val="nil"/>
              <w:bottom w:val="single" w:sz="4" w:space="0" w:color="auto"/>
              <w:right w:val="single" w:sz="4" w:space="0" w:color="auto"/>
            </w:tcBorders>
            <w:shd w:val="clear" w:color="000000" w:fill="FDE9D9"/>
            <w:noWrap/>
            <w:vAlign w:val="center"/>
            <w:hideMark/>
          </w:tcPr>
          <w:p w14:paraId="1F0791F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4,440</w:t>
            </w:r>
          </w:p>
        </w:tc>
      </w:tr>
      <w:tr w14:paraId="7775B2B2" w:rsidR="00FF202D" w:rsidRPr="00FF202D" w:rsidTr="00EE3DAD">
        <w:trPr>
          <w:trHeight w:val="900"/>
        </w:trPr>
        <w:tc>
          <w:tcPr>
            <w:tcW w:w="850" w:type="dxa"/>
            <w:vMerge/>
            <w:tcBorders>
              <w:top w:val="nil"/>
              <w:left w:val="single" w:sz="4" w:space="0" w:color="auto"/>
              <w:bottom w:val="single" w:sz="4" w:space="0" w:color="000000"/>
              <w:right w:val="single" w:sz="4" w:space="0" w:color="auto"/>
            </w:tcBorders>
            <w:vAlign w:val="center"/>
            <w:hideMark/>
          </w:tcPr>
          <w:p w14:paraId="34FAC666"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A084690"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4247513D"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Venue / catering costs: training for forestry, fisheries and physical planning officers etc. in BD, SLM, SFM enforcement and use of regulatory instrument: $4,900</w:t>
            </w:r>
          </w:p>
        </w:tc>
        <w:tc>
          <w:tcPr>
            <w:tcW w:w="2631" w:type="dxa"/>
            <w:tcBorders>
              <w:top w:val="nil"/>
              <w:left w:val="nil"/>
              <w:bottom w:val="single" w:sz="4" w:space="0" w:color="auto"/>
              <w:right w:val="single" w:sz="4" w:space="0" w:color="auto"/>
            </w:tcBorders>
            <w:shd w:val="clear" w:color="000000" w:fill="FDE9D9"/>
            <w:noWrap/>
            <w:vAlign w:val="center"/>
            <w:hideMark/>
          </w:tcPr>
          <w:p w14:paraId="1E686353"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4,900</w:t>
            </w:r>
          </w:p>
        </w:tc>
      </w:tr>
      <w:tr w14:paraId="5A6082D9" w:rsidR="00FF202D" w:rsidRPr="00FF202D" w:rsidTr="00EE3DAD">
        <w:trPr>
          <w:trHeight w:val="1200"/>
        </w:trPr>
        <w:tc>
          <w:tcPr>
            <w:tcW w:w="850" w:type="dxa"/>
            <w:vMerge/>
            <w:tcBorders>
              <w:top w:val="nil"/>
              <w:left w:val="single" w:sz="4" w:space="0" w:color="auto"/>
              <w:bottom w:val="single" w:sz="4" w:space="0" w:color="000000"/>
              <w:right w:val="single" w:sz="4" w:space="0" w:color="auto"/>
            </w:tcBorders>
            <w:vAlign w:val="center"/>
            <w:hideMark/>
          </w:tcPr>
          <w:p w14:paraId="0263B9BF"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5F9D5B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780201FC"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Catering costs: climate change impacts, migration ad adoption strategies, sensitization workshop seminars for agricultural officers, fisheries, forestry, ministry of works officers etc.: $1,300</w:t>
            </w:r>
          </w:p>
        </w:tc>
        <w:tc>
          <w:tcPr>
            <w:tcW w:w="2631" w:type="dxa"/>
            <w:tcBorders>
              <w:top w:val="nil"/>
              <w:left w:val="nil"/>
              <w:bottom w:val="single" w:sz="4" w:space="0" w:color="auto"/>
              <w:right w:val="single" w:sz="4" w:space="0" w:color="auto"/>
            </w:tcBorders>
            <w:shd w:val="clear" w:color="000000" w:fill="FDE9D9"/>
            <w:noWrap/>
            <w:vAlign w:val="center"/>
            <w:hideMark/>
          </w:tcPr>
          <w:p w14:paraId="06686EF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1,300</w:t>
            </w:r>
          </w:p>
        </w:tc>
      </w:tr>
      <w:tr w14:paraId="7D5FA263" w:rsidR="00FF202D" w:rsidRPr="00FF202D" w:rsidTr="00EE3DAD">
        <w:trPr>
          <w:trHeight w:val="300"/>
        </w:trPr>
        <w:tc>
          <w:tcPr>
            <w:tcW w:w="850" w:type="dxa"/>
            <w:vMerge/>
            <w:tcBorders>
              <w:top w:val="nil"/>
              <w:left w:val="single" w:sz="4" w:space="0" w:color="auto"/>
              <w:bottom w:val="single" w:sz="4" w:space="0" w:color="000000"/>
              <w:right w:val="single" w:sz="4" w:space="0" w:color="auto"/>
            </w:tcBorders>
            <w:vAlign w:val="center"/>
            <w:hideMark/>
          </w:tcPr>
          <w:p w14:paraId="2F644AAF"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BF4AC6F"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1A7D3A7B" w:rsidR="00FF202D" w:rsidRPr="00FF202D" w:rsidRDefault="00FF202D" w:rsidP="00B11FC2">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Community seminars / meeting: $10,000</w:t>
            </w:r>
          </w:p>
        </w:tc>
        <w:tc>
          <w:tcPr>
            <w:tcW w:w="2631" w:type="dxa"/>
            <w:tcBorders>
              <w:top w:val="nil"/>
              <w:left w:val="nil"/>
              <w:bottom w:val="single" w:sz="4" w:space="0" w:color="auto"/>
              <w:right w:val="single" w:sz="4" w:space="0" w:color="auto"/>
            </w:tcBorders>
            <w:shd w:val="clear" w:color="000000" w:fill="FDE9D9"/>
            <w:noWrap/>
            <w:vAlign w:val="center"/>
            <w:hideMark/>
          </w:tcPr>
          <w:p w14:paraId="5F53AC71"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10,000</w:t>
            </w:r>
          </w:p>
        </w:tc>
      </w:tr>
      <w:tr w14:paraId="3872FF44"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441796A4"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0DB41C5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065D9E4D"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Capacity development by field interventions in the pilot project area: $18,250</w:t>
            </w:r>
          </w:p>
        </w:tc>
        <w:tc>
          <w:tcPr>
            <w:tcW w:w="2631" w:type="dxa"/>
            <w:tcBorders>
              <w:top w:val="nil"/>
              <w:left w:val="nil"/>
              <w:bottom w:val="single" w:sz="4" w:space="0" w:color="auto"/>
              <w:right w:val="single" w:sz="4" w:space="0" w:color="auto"/>
            </w:tcBorders>
            <w:shd w:val="clear" w:color="000000" w:fill="FDE9D9"/>
            <w:noWrap/>
            <w:vAlign w:val="center"/>
            <w:hideMark/>
          </w:tcPr>
          <w:p w14:paraId="33AF60C6"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18,250</w:t>
            </w:r>
          </w:p>
        </w:tc>
      </w:tr>
      <w:tr w14:paraId="2F2B1E9E"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1EFF0F15"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4FFE9B1C"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17724B04"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Training for product branding, labeling and packaging: $3,600</w:t>
            </w:r>
          </w:p>
        </w:tc>
        <w:tc>
          <w:tcPr>
            <w:tcW w:w="2631" w:type="dxa"/>
            <w:tcBorders>
              <w:top w:val="nil"/>
              <w:left w:val="nil"/>
              <w:bottom w:val="single" w:sz="4" w:space="0" w:color="auto"/>
              <w:right w:val="single" w:sz="4" w:space="0" w:color="auto"/>
            </w:tcBorders>
            <w:shd w:val="clear" w:color="000000" w:fill="FDE9D9"/>
            <w:noWrap/>
            <w:vAlign w:val="center"/>
            <w:hideMark/>
          </w:tcPr>
          <w:p w14:paraId="68F45EE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3,600</w:t>
            </w:r>
          </w:p>
        </w:tc>
      </w:tr>
      <w:tr w14:paraId="251FC4F9" w:rsidR="00FF202D" w:rsidRPr="00FF202D" w:rsidTr="00EE3DAD">
        <w:trPr>
          <w:trHeight w:val="600"/>
        </w:trPr>
        <w:tc>
          <w:tcPr>
            <w:tcW w:w="850" w:type="dxa"/>
            <w:vMerge/>
            <w:tcBorders>
              <w:top w:val="nil"/>
              <w:left w:val="single" w:sz="4" w:space="0" w:color="auto"/>
              <w:bottom w:val="single" w:sz="4" w:space="0" w:color="000000"/>
              <w:right w:val="single" w:sz="4" w:space="0" w:color="auto"/>
            </w:tcBorders>
            <w:vAlign w:val="center"/>
            <w:hideMark/>
          </w:tcPr>
          <w:p w14:paraId="2C0C652B" w:rsidR="00FF202D" w:rsidRPr="00FF202D" w:rsidRDefault="00FF202D" w:rsidP="00FF202D">
            <w:pPr>
              <w:spacing w:after="0" w:line="240" w:lineRule="auto"/>
              <w:rPr>
                <w:rFonts w:ascii="Times New Roman" w:eastAsia="Times New Roman" w:hAnsi="Times New Roman" w:cs="Times New Roman"/>
                <w:lang w:val="es-MX" w:eastAsia="es-MX"/>
              </w:rPr>
            </w:pPr>
          </w:p>
        </w:tc>
        <w:tc>
          <w:tcPr>
            <w:tcW w:w="1008" w:type="dxa"/>
            <w:tcBorders>
              <w:top w:val="nil"/>
              <w:left w:val="nil"/>
              <w:bottom w:val="single" w:sz="4" w:space="0" w:color="auto"/>
              <w:right w:val="single" w:sz="4" w:space="0" w:color="auto"/>
            </w:tcBorders>
            <w:shd w:val="clear" w:color="000000" w:fill="FDE9D9"/>
            <w:vAlign w:val="center"/>
            <w:hideMark/>
          </w:tcPr>
          <w:p w14:paraId="1B933234"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75700</w:t>
            </w:r>
          </w:p>
        </w:tc>
        <w:tc>
          <w:tcPr>
            <w:tcW w:w="9996" w:type="dxa"/>
            <w:tcBorders>
              <w:top w:val="nil"/>
              <w:left w:val="nil"/>
              <w:bottom w:val="single" w:sz="4" w:space="0" w:color="auto"/>
              <w:right w:val="single" w:sz="4" w:space="0" w:color="auto"/>
            </w:tcBorders>
            <w:shd w:val="clear" w:color="000000" w:fill="FDE9D9"/>
            <w:vAlign w:val="center"/>
            <w:hideMark/>
          </w:tcPr>
          <w:p w14:paraId="23AAE30E" w:rsidR="00FF202D" w:rsidRPr="00FF202D" w:rsidRDefault="00FF202D" w:rsidP="00B11FC2">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Venue / catering costs for training of  farmers in sustainable agricultural practices: $5,900</w:t>
            </w:r>
          </w:p>
        </w:tc>
        <w:tc>
          <w:tcPr>
            <w:tcW w:w="2631" w:type="dxa"/>
            <w:tcBorders>
              <w:top w:val="nil"/>
              <w:left w:val="nil"/>
              <w:bottom w:val="single" w:sz="4" w:space="0" w:color="auto"/>
              <w:right w:val="single" w:sz="4" w:space="0" w:color="auto"/>
            </w:tcBorders>
            <w:shd w:val="clear" w:color="000000" w:fill="FDE9D9"/>
            <w:noWrap/>
            <w:vAlign w:val="center"/>
            <w:hideMark/>
          </w:tcPr>
          <w:p w14:paraId="00986D37"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5,900</w:t>
            </w:r>
          </w:p>
        </w:tc>
      </w:tr>
      <w:tr w14:paraId="37F10B49" w:rsidR="00FF202D" w:rsidRPr="00FF202D" w:rsidTr="00FF202D">
        <w:trPr>
          <w:trHeight w:val="300"/>
        </w:trPr>
        <w:tc>
          <w:tcPr>
            <w:tcW w:w="14485" w:type="dxa"/>
            <w:gridSpan w:val="4"/>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AAE2609" w:rsidR="00FF202D" w:rsidRPr="00FF202D" w:rsidRDefault="00FF202D" w:rsidP="00FF202D">
            <w:pPr>
              <w:spacing w:after="0" w:line="240" w:lineRule="auto"/>
              <w:jc w:val="center"/>
              <w:rPr>
                <w:rFonts w:ascii="Times New Roman" w:eastAsia="Times New Roman" w:hAnsi="Times New Roman" w:cs="Times New Roman"/>
                <w:b/>
                <w:bCs/>
                <w:lang w:val="es-MX" w:eastAsia="es-MX"/>
              </w:rPr>
            </w:pPr>
            <w:r w:rsidRPr="00FF202D">
              <w:rPr>
                <w:rFonts w:ascii="Times New Roman" w:hAnsi="Times New Roman" w:eastAsia="Times New Roman" w:cs="Times New Roman"/>
                <w:b/>
                <w:bCs/>
                <w:lang w:val="es-MX" w:eastAsia="es-MX"/>
              </w:rPr>
              <w:t>Project Management</w:t>
            </w:r>
          </w:p>
        </w:tc>
      </w:tr>
      <w:tr w14:paraId="32152F78" w:rsidR="00FF202D" w:rsidRPr="00FF202D" w:rsidTr="00EE3DAD">
        <w:trPr>
          <w:trHeight w:val="300"/>
        </w:trPr>
        <w:tc>
          <w:tcPr>
            <w:tcW w:w="850" w:type="dxa"/>
            <w:tcBorders>
              <w:top w:val="nil"/>
              <w:left w:val="single" w:sz="4" w:space="0" w:color="auto"/>
              <w:bottom w:val="single" w:sz="4" w:space="0" w:color="auto"/>
              <w:right w:val="single" w:sz="4" w:space="0" w:color="auto"/>
            </w:tcBorders>
            <w:shd w:val="clear" w:color="000000" w:fill="E4DFEC"/>
            <w:noWrap/>
            <w:vAlign w:val="center"/>
            <w:hideMark/>
          </w:tcPr>
          <w:p w14:paraId="2637D016" w:rsidR="00FF202D" w:rsidRPr="00B11FC2" w:rsidRDefault="00FF202D" w:rsidP="00B11FC2">
            <w:pPr>
              <w:spacing w:after="0" w:line="240" w:lineRule="auto"/>
              <w:jc w:val="center"/>
              <w:rPr>
                <w:rFonts w:ascii="Times New Roman" w:eastAsia="Times New Roman" w:hAnsi="Times New Roman" w:cs="Times New Roman"/>
                <w:b/>
                <w:lang w:val="es-MX" w:eastAsia="es-MX"/>
              </w:rPr>
            </w:pPr>
            <w:r w:rsidRPr="00B11FC2">
              <w:rPr>
                <w:rFonts w:ascii="Times New Roman" w:hAnsi="Times New Roman" w:eastAsia="Times New Roman" w:cs="Times New Roman"/>
                <w:b/>
                <w:lang w:val="es-MX" w:eastAsia="es-MX"/>
              </w:rPr>
              <w:t>Budget Note</w:t>
            </w:r>
          </w:p>
        </w:tc>
        <w:tc>
          <w:tcPr>
            <w:tcW w:w="1008" w:type="dxa"/>
            <w:tcBorders>
              <w:top w:val="nil"/>
              <w:left w:val="nil"/>
              <w:bottom w:val="single" w:sz="4" w:space="0" w:color="auto"/>
              <w:right w:val="single" w:sz="4" w:space="0" w:color="auto"/>
            </w:tcBorders>
            <w:shd w:val="clear" w:color="000000" w:fill="E4DFEC"/>
            <w:noWrap/>
            <w:vAlign w:val="center"/>
            <w:hideMark/>
          </w:tcPr>
          <w:p w14:paraId="2E18F480" w:rsidR="00FF202D" w:rsidRPr="00B11FC2" w:rsidRDefault="00FF202D" w:rsidP="00B11FC2">
            <w:pPr>
              <w:spacing w:after="0" w:line="240" w:lineRule="auto"/>
              <w:jc w:val="center"/>
              <w:rPr>
                <w:rFonts w:ascii="Times New Roman" w:eastAsia="Times New Roman" w:hAnsi="Times New Roman" w:cs="Times New Roman"/>
                <w:b/>
                <w:lang w:val="es-MX" w:eastAsia="es-MX"/>
              </w:rPr>
            </w:pPr>
            <w:r w:rsidRPr="00B11FC2">
              <w:rPr>
                <w:rFonts w:ascii="Times New Roman" w:hAnsi="Times New Roman" w:eastAsia="Times New Roman" w:cs="Times New Roman"/>
                <w:b/>
                <w:lang w:val="es-MX" w:eastAsia="es-MX"/>
              </w:rPr>
              <w:t>Atlas Code</w:t>
            </w:r>
          </w:p>
        </w:tc>
        <w:tc>
          <w:tcPr>
            <w:tcW w:w="9996" w:type="dxa"/>
            <w:tcBorders>
              <w:top w:val="nil"/>
              <w:left w:val="nil"/>
              <w:bottom w:val="single" w:sz="4" w:space="0" w:color="auto"/>
              <w:right w:val="single" w:sz="4" w:space="0" w:color="auto"/>
            </w:tcBorders>
            <w:shd w:val="clear" w:color="000000" w:fill="E4DFEC"/>
            <w:noWrap/>
            <w:vAlign w:val="center"/>
            <w:hideMark/>
          </w:tcPr>
          <w:p w14:paraId="6C87C969" w:rsidR="00FF202D" w:rsidRPr="00B11FC2" w:rsidRDefault="00FF202D" w:rsidP="00B11FC2">
            <w:pPr>
              <w:spacing w:after="0" w:line="240" w:lineRule="auto"/>
              <w:jc w:val="center"/>
              <w:rPr>
                <w:rFonts w:ascii="Times New Roman" w:eastAsia="Times New Roman" w:hAnsi="Times New Roman" w:cs="Times New Roman"/>
                <w:b/>
                <w:lang w:val="es-MX" w:eastAsia="es-MX"/>
              </w:rPr>
            </w:pPr>
            <w:r w:rsidRPr="00B11FC2">
              <w:rPr>
                <w:rFonts w:ascii="Times New Roman" w:hAnsi="Times New Roman" w:eastAsia="Times New Roman" w:cs="Times New Roman"/>
                <w:b/>
                <w:lang w:val="es-MX" w:eastAsia="es-MX"/>
              </w:rPr>
              <w:t>Description</w:t>
            </w:r>
          </w:p>
        </w:tc>
        <w:tc>
          <w:tcPr>
            <w:tcW w:w="2631" w:type="dxa"/>
            <w:tcBorders>
              <w:top w:val="nil"/>
              <w:left w:val="nil"/>
              <w:bottom w:val="single" w:sz="4" w:space="0" w:color="auto"/>
              <w:right w:val="single" w:sz="4" w:space="0" w:color="auto"/>
            </w:tcBorders>
            <w:shd w:val="clear" w:color="000000" w:fill="E4DFEC"/>
            <w:noWrap/>
            <w:vAlign w:val="center"/>
            <w:hideMark/>
          </w:tcPr>
          <w:p w14:paraId="5CE1BA29" w:rsidR="00FF202D" w:rsidRPr="00B11FC2" w:rsidRDefault="00FF202D" w:rsidP="00EE3DAD">
            <w:pPr>
              <w:spacing w:after="0" w:line="240" w:lineRule="auto"/>
              <w:jc w:val="center"/>
              <w:rPr>
                <w:rFonts w:ascii="Times New Roman" w:eastAsia="Times New Roman" w:hAnsi="Times New Roman" w:cs="Times New Roman"/>
                <w:b/>
                <w:lang w:val="es-MX" w:eastAsia="es-MX"/>
              </w:rPr>
            </w:pPr>
            <w:r w:rsidRPr="00B11FC2">
              <w:rPr>
                <w:rFonts w:ascii="Times New Roman" w:hAnsi="Times New Roman" w:eastAsia="Times New Roman" w:cs="Times New Roman"/>
                <w:b/>
                <w:lang w:val="es-MX" w:eastAsia="es-MX"/>
              </w:rPr>
              <w:t>Amount</w:t>
            </w:r>
          </w:p>
        </w:tc>
      </w:tr>
      <w:tr w14:paraId="192BB5B9" w:rsidR="00FF202D" w:rsidRPr="00FF202D" w:rsidTr="00EE3DAD">
        <w:trPr>
          <w:trHeight w:val="600"/>
        </w:trPr>
        <w:tc>
          <w:tcPr>
            <w:tcW w:w="850" w:type="dxa"/>
            <w:tcBorders>
              <w:top w:val="nil"/>
              <w:left w:val="single" w:sz="4" w:space="0" w:color="auto"/>
              <w:bottom w:val="single" w:sz="4" w:space="0" w:color="auto"/>
              <w:right w:val="single" w:sz="4" w:space="0" w:color="auto"/>
            </w:tcBorders>
            <w:shd w:val="clear" w:color="000000" w:fill="E4DFEC"/>
            <w:noWrap/>
            <w:vAlign w:val="center"/>
            <w:hideMark/>
          </w:tcPr>
          <w:p w14:paraId="34C5BF0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29</w:t>
            </w:r>
          </w:p>
        </w:tc>
        <w:tc>
          <w:tcPr>
            <w:tcW w:w="1008" w:type="dxa"/>
            <w:tcBorders>
              <w:top w:val="nil"/>
              <w:left w:val="nil"/>
              <w:bottom w:val="single" w:sz="4" w:space="0" w:color="auto"/>
              <w:right w:val="single" w:sz="4" w:space="0" w:color="auto"/>
            </w:tcBorders>
            <w:shd w:val="clear" w:color="000000" w:fill="E4DFEC"/>
            <w:noWrap/>
            <w:vAlign w:val="center"/>
            <w:hideMark/>
          </w:tcPr>
          <w:p w14:paraId="5327EEB7"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71400</w:t>
            </w:r>
          </w:p>
        </w:tc>
        <w:tc>
          <w:tcPr>
            <w:tcW w:w="9996" w:type="dxa"/>
            <w:tcBorders>
              <w:top w:val="nil"/>
              <w:left w:val="nil"/>
              <w:bottom w:val="single" w:sz="4" w:space="0" w:color="auto"/>
              <w:right w:val="single" w:sz="4" w:space="0" w:color="auto"/>
            </w:tcBorders>
            <w:shd w:val="clear" w:color="000000" w:fill="E4DFEC"/>
            <w:hideMark/>
          </w:tcPr>
          <w:p w14:paraId="2874A25F"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Project coordinator (managerial inputs corresponding to $13,841 or 10% of the incumbent's time).</w:t>
            </w:r>
          </w:p>
        </w:tc>
        <w:tc>
          <w:tcPr>
            <w:tcW w:w="2631" w:type="dxa"/>
            <w:tcBorders>
              <w:top w:val="nil"/>
              <w:left w:val="nil"/>
              <w:bottom w:val="single" w:sz="4" w:space="0" w:color="auto"/>
              <w:right w:val="single" w:sz="4" w:space="0" w:color="auto"/>
            </w:tcBorders>
            <w:shd w:val="clear" w:color="000000" w:fill="E4DFEC"/>
            <w:noWrap/>
            <w:vAlign w:val="center"/>
            <w:hideMark/>
          </w:tcPr>
          <w:p w14:paraId="2717292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13,841</w:t>
            </w:r>
          </w:p>
        </w:tc>
      </w:tr>
      <w:tr w14:paraId="77564B78" w:rsidR="00FF202D" w:rsidRPr="00FF202D" w:rsidTr="00EE3DAD">
        <w:trPr>
          <w:trHeight w:val="1200"/>
        </w:trPr>
        <w:tc>
          <w:tcPr>
            <w:tcW w:w="850" w:type="dxa"/>
            <w:tcBorders>
              <w:top w:val="nil"/>
              <w:left w:val="single" w:sz="4" w:space="0" w:color="auto"/>
              <w:bottom w:val="single" w:sz="4" w:space="0" w:color="auto"/>
              <w:right w:val="single" w:sz="4" w:space="0" w:color="auto"/>
            </w:tcBorders>
            <w:shd w:val="clear" w:color="000000" w:fill="E4DFEC"/>
            <w:noWrap/>
            <w:vAlign w:val="center"/>
            <w:hideMark/>
          </w:tcPr>
          <w:p w14:paraId="6519500B"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30</w:t>
            </w:r>
          </w:p>
        </w:tc>
        <w:tc>
          <w:tcPr>
            <w:tcW w:w="1008" w:type="dxa"/>
            <w:tcBorders>
              <w:top w:val="nil"/>
              <w:left w:val="nil"/>
              <w:bottom w:val="single" w:sz="4" w:space="0" w:color="auto"/>
              <w:right w:val="single" w:sz="4" w:space="0" w:color="auto"/>
            </w:tcBorders>
            <w:shd w:val="clear" w:color="000000" w:fill="E4DFEC"/>
            <w:noWrap/>
            <w:vAlign w:val="center"/>
            <w:hideMark/>
          </w:tcPr>
          <w:p w14:paraId="67EE8C8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71400</w:t>
            </w:r>
          </w:p>
        </w:tc>
        <w:tc>
          <w:tcPr>
            <w:tcW w:w="9996" w:type="dxa"/>
            <w:tcBorders>
              <w:top w:val="nil"/>
              <w:left w:val="nil"/>
              <w:bottom w:val="single" w:sz="4" w:space="0" w:color="auto"/>
              <w:right w:val="single" w:sz="4" w:space="0" w:color="auto"/>
            </w:tcBorders>
            <w:shd w:val="clear" w:color="000000" w:fill="E4DFEC"/>
            <w:hideMark/>
          </w:tcPr>
          <w:p w14:paraId="0936CB74"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Project administrator/financial officer:  Responsible for financial management of the project, accounting, purchasing, and reporting.  </w:t>
            </w:r>
            <w:r w:rsidRPr="00FF202D">
              <w:rPr>
                <w:rFonts w:ascii="Times New Roman" w:hAnsi="Times New Roman" w:eastAsia="Times New Roman" w:cs="Times New Roman"/>
                <w:lang w:val="es-MX" w:eastAsia="es-MX"/>
              </w:rPr>
              <w:t>(30% of the incumbent's time: $25,200).</w:t>
            </w:r>
          </w:p>
        </w:tc>
        <w:tc>
          <w:tcPr>
            <w:tcW w:w="2631" w:type="dxa"/>
            <w:tcBorders>
              <w:top w:val="nil"/>
              <w:left w:val="nil"/>
              <w:bottom w:val="single" w:sz="4" w:space="0" w:color="auto"/>
              <w:right w:val="single" w:sz="4" w:space="0" w:color="auto"/>
            </w:tcBorders>
            <w:shd w:val="clear" w:color="000000" w:fill="E4DFEC"/>
            <w:noWrap/>
            <w:vAlign w:val="center"/>
            <w:hideMark/>
          </w:tcPr>
          <w:p w14:paraId="5C914A30"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25,200</w:t>
            </w:r>
          </w:p>
        </w:tc>
      </w:tr>
      <w:tr w14:paraId="31DC6AB1" w:rsidR="00FF202D" w:rsidRPr="00FF202D" w:rsidTr="00EE3DAD">
        <w:trPr>
          <w:trHeight w:val="600"/>
        </w:trPr>
        <w:tc>
          <w:tcPr>
            <w:tcW w:w="850" w:type="dxa"/>
            <w:tcBorders>
              <w:top w:val="nil"/>
              <w:left w:val="single" w:sz="4" w:space="0" w:color="auto"/>
              <w:bottom w:val="single" w:sz="4" w:space="0" w:color="auto"/>
              <w:right w:val="single" w:sz="4" w:space="0" w:color="auto"/>
            </w:tcBorders>
            <w:shd w:val="clear" w:color="000000" w:fill="E4DFEC"/>
            <w:noWrap/>
            <w:vAlign w:val="center"/>
            <w:hideMark/>
          </w:tcPr>
          <w:p w14:paraId="4F7BB533"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31</w:t>
            </w:r>
          </w:p>
        </w:tc>
        <w:tc>
          <w:tcPr>
            <w:tcW w:w="1008" w:type="dxa"/>
            <w:tcBorders>
              <w:top w:val="nil"/>
              <w:left w:val="nil"/>
              <w:bottom w:val="single" w:sz="4" w:space="0" w:color="auto"/>
              <w:right w:val="single" w:sz="4" w:space="0" w:color="auto"/>
            </w:tcBorders>
            <w:shd w:val="clear" w:color="000000" w:fill="E4DFEC"/>
            <w:noWrap/>
            <w:vAlign w:val="center"/>
            <w:hideMark/>
          </w:tcPr>
          <w:p w14:paraId="1F7E120E"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71400</w:t>
            </w:r>
          </w:p>
        </w:tc>
        <w:tc>
          <w:tcPr>
            <w:tcW w:w="9996" w:type="dxa"/>
            <w:tcBorders>
              <w:top w:val="nil"/>
              <w:left w:val="nil"/>
              <w:bottom w:val="single" w:sz="4" w:space="0" w:color="auto"/>
              <w:right w:val="single" w:sz="4" w:space="0" w:color="auto"/>
            </w:tcBorders>
            <w:shd w:val="clear" w:color="000000" w:fill="E4DFEC"/>
            <w:hideMark/>
          </w:tcPr>
          <w:p w14:paraId="78CEEF0A" w:rsidR="00FF202D" w:rsidRPr="00FF202D" w:rsidRDefault="00FF202D" w:rsidP="00FF202D">
            <w:pPr>
              <w:spacing w:after="0" w:line="240" w:lineRule="auto"/>
              <w:rPr>
                <w:rFonts w:ascii="Times New Roman" w:eastAsia="Times New Roman" w:hAnsi="Times New Roman" w:cs="Times New Roman"/>
                <w:lang w:val="es-MX" w:eastAsia="es-MX"/>
              </w:rPr>
            </w:pPr>
            <w:r w:rsidRPr="00FF202D">
              <w:rPr>
                <w:rFonts w:ascii="Times New Roman" w:hAnsi="Times New Roman" w:eastAsia="Times New Roman" w:cs="Times New Roman"/>
                <w:lang w:eastAsia="es-MX"/>
              </w:rPr>
              <w:t xml:space="preserve">Secretary: Overall project administrative assistance. </w:t>
            </w:r>
            <w:r w:rsidRPr="00FF202D">
              <w:rPr>
                <w:rFonts w:ascii="Times New Roman" w:hAnsi="Times New Roman" w:eastAsia="Times New Roman" w:cs="Times New Roman"/>
                <w:lang w:val="es-MX" w:eastAsia="es-MX"/>
              </w:rPr>
              <w:t>Total cost: 42,000</w:t>
            </w:r>
          </w:p>
        </w:tc>
        <w:tc>
          <w:tcPr>
            <w:tcW w:w="2631" w:type="dxa"/>
            <w:tcBorders>
              <w:top w:val="nil"/>
              <w:left w:val="nil"/>
              <w:bottom w:val="single" w:sz="4" w:space="0" w:color="auto"/>
              <w:right w:val="single" w:sz="4" w:space="0" w:color="auto"/>
            </w:tcBorders>
            <w:shd w:val="clear" w:color="000000" w:fill="E4DFEC"/>
            <w:noWrap/>
            <w:vAlign w:val="center"/>
            <w:hideMark/>
          </w:tcPr>
          <w:p w14:paraId="01C1F62E"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42,000</w:t>
            </w:r>
          </w:p>
        </w:tc>
      </w:tr>
      <w:tr w14:paraId="149B5112" w:rsidR="00FF202D" w:rsidRPr="00FF202D" w:rsidTr="00EE3DAD">
        <w:trPr>
          <w:trHeight w:val="2252"/>
        </w:trPr>
        <w:tc>
          <w:tcPr>
            <w:tcW w:w="850" w:type="dxa"/>
            <w:tcBorders>
              <w:top w:val="nil"/>
              <w:left w:val="single" w:sz="4" w:space="0" w:color="auto"/>
              <w:bottom w:val="single" w:sz="4" w:space="0" w:color="auto"/>
              <w:right w:val="single" w:sz="4" w:space="0" w:color="auto"/>
            </w:tcBorders>
            <w:shd w:val="clear" w:color="000000" w:fill="E4DFEC"/>
            <w:noWrap/>
            <w:vAlign w:val="center"/>
            <w:hideMark/>
          </w:tcPr>
          <w:p w14:paraId="21EBFF08"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32</w:t>
            </w:r>
          </w:p>
        </w:tc>
        <w:tc>
          <w:tcPr>
            <w:tcW w:w="1008" w:type="dxa"/>
            <w:tcBorders>
              <w:top w:val="nil"/>
              <w:left w:val="nil"/>
              <w:bottom w:val="single" w:sz="4" w:space="0" w:color="auto"/>
              <w:right w:val="single" w:sz="4" w:space="0" w:color="auto"/>
            </w:tcBorders>
            <w:shd w:val="clear" w:color="000000" w:fill="E4DFEC"/>
            <w:noWrap/>
            <w:vAlign w:val="center"/>
            <w:hideMark/>
          </w:tcPr>
          <w:p w14:paraId="6FDC7351" w:rsidR="00FF202D" w:rsidRPr="00FF202D" w:rsidRDefault="00FF202D" w:rsidP="00FF202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74599</w:t>
            </w:r>
          </w:p>
        </w:tc>
        <w:tc>
          <w:tcPr>
            <w:tcW w:w="9996" w:type="dxa"/>
            <w:tcBorders>
              <w:top w:val="nil"/>
              <w:left w:val="nil"/>
              <w:bottom w:val="single" w:sz="4" w:space="0" w:color="auto"/>
              <w:right w:val="single" w:sz="4" w:space="0" w:color="auto"/>
            </w:tcBorders>
            <w:shd w:val="clear" w:color="000000" w:fill="E4DFEC"/>
            <w:hideMark/>
          </w:tcPr>
          <w:p w14:paraId="5876A39D" w:rsidR="00FF202D" w:rsidRPr="00FF202D" w:rsidRDefault="00FF202D" w:rsidP="00FF202D">
            <w:pPr>
              <w:spacing w:after="0" w:line="240" w:lineRule="auto"/>
              <w:rPr>
                <w:rFonts w:ascii="Times New Roman" w:eastAsia="Times New Roman" w:hAnsi="Times New Roman" w:cs="Times New Roman"/>
                <w:lang w:eastAsia="es-MX"/>
              </w:rPr>
            </w:pPr>
            <w:r w:rsidRPr="00FF202D">
              <w:rPr>
                <w:rFonts w:ascii="Times New Roman" w:hAnsi="Times New Roman" w:eastAsia="Times New Roman" w:cs="Times New Roman"/>
                <w:lang w:eastAsia="es-MX"/>
              </w:rPr>
              <w:t>Estimated costs of Direct Project Services requested by the GoG to UNDP for executing services (procurement; travel etc) and as requested by the GoG through the Letter of Agreement (Annex 13).  Direct project service costs will be charged at the end of each year based on the UNDP Universal Pricelist (UPL) or the actual corresponding service cost. The amounts indicated here are estimations based on the services indicated in Annex 13, however as part of annual project operational planning the direct project services to be requested during that calendar year would be defined and the amount included in the yearly budgets. As noted these costs would be charged based on actual services provided at the end of the year and would be reported to the implementing partners (GoG).</w:t>
            </w:r>
          </w:p>
        </w:tc>
        <w:tc>
          <w:tcPr>
            <w:tcW w:w="2631" w:type="dxa"/>
            <w:tcBorders>
              <w:top w:val="nil"/>
              <w:left w:val="nil"/>
              <w:bottom w:val="single" w:sz="4" w:space="0" w:color="auto"/>
              <w:right w:val="single" w:sz="4" w:space="0" w:color="auto"/>
            </w:tcBorders>
            <w:shd w:val="clear" w:color="000000" w:fill="E4DFEC"/>
            <w:noWrap/>
            <w:vAlign w:val="center"/>
            <w:hideMark/>
          </w:tcPr>
          <w:p w14:paraId="64FC2B49" w:rsidR="00FF202D" w:rsidRPr="00FF202D" w:rsidRDefault="00FF202D" w:rsidP="00EE3DAD">
            <w:pPr>
              <w:spacing w:after="0" w:line="240" w:lineRule="auto"/>
              <w:jc w:val="center"/>
              <w:rPr>
                <w:rFonts w:ascii="Times New Roman" w:eastAsia="Times New Roman" w:hAnsi="Times New Roman" w:cs="Times New Roman"/>
                <w:lang w:val="es-MX" w:eastAsia="es-MX"/>
              </w:rPr>
            </w:pPr>
            <w:r w:rsidRPr="00FF202D">
              <w:rPr>
                <w:rFonts w:ascii="Times New Roman" w:hAnsi="Times New Roman" w:eastAsia="Times New Roman" w:cs="Times New Roman"/>
                <w:lang w:val="es-MX" w:eastAsia="es-MX"/>
              </w:rPr>
              <w:t>58,800</w:t>
            </w:r>
          </w:p>
        </w:tc>
      </w:tr>
    </w:tbl>
    <w:p w14:paraId="3295FB8C" w:rsidR="00F165D0" w:rsidRPr="00DC4545" w:rsidRDefault="00F165D0" w:rsidP="009C3E04">
      <w:pPr>
        <w:rPr>
          <w:rFonts w:ascii="Times New Roman" w:hAnsi="Times New Roman" w:cs="Times New Roman"/>
          <w:b/>
        </w:rPr>
        <w:sectPr w:rsidR="00F165D0" w:rsidRPr="00DC4545" w:rsidSect="00005220">
          <w:headerReference w:type="default" r:id="rId21"/>
          <w:pgSz w:w="15840" w:h="12240" w:orient="landscape"/>
          <w:pgMar w:top="720" w:right="720" w:bottom="720" w:left="720" w:header="432" w:footer="432" w:gutter="0"/>
          <w:cols w:space="720"/>
          <w:docGrid w:linePitch="360"/>
        </w:sectPr>
      </w:pPr>
    </w:p>
    <w:p w14:paraId="5952F253" w:rsidR="00133632" w:rsidRPr="000967A4" w:rsidRDefault="00F165D0" w:rsidP="009C3E04">
      <w:pPr>
        <w:pStyle w:val="Heading1"/>
      </w:pPr>
      <w:bookmarkStart w:id="49" w:name="_Toc389820976"/>
      <w:r w:rsidRPr="000967A4">
        <w:t xml:space="preserve">SECTION </w:t>
      </w:r>
      <w:r w:rsidR="00AC5BFE" w:rsidRPr="000967A4">
        <w:t>I</w:t>
      </w:r>
      <w:r w:rsidRPr="000967A4">
        <w:t>V</w:t>
      </w:r>
      <w:r w:rsidR="00133632" w:rsidRPr="000967A4">
        <w:t>: MANAGEMENT ARRANGEMENT</w:t>
      </w:r>
      <w:r w:rsidR="00FC2DA5" w:rsidRPr="000967A4">
        <w:t>S</w:t>
      </w:r>
      <w:bookmarkEnd w:id="49"/>
    </w:p>
    <w:p w14:paraId="79489E59" w:rsidR="00B34716" w:rsidRPr="000967A4" w:rsidRDefault="00B34716" w:rsidP="00B34716">
      <w:pPr>
        <w:pStyle w:val="Heading3"/>
        <w:spacing w:before="0"/>
        <w:rPr>
          <w:lang w:val="fr-FR" w:eastAsia="en-ZA"/>
        </w:rPr>
      </w:pPr>
      <w:bookmarkStart w:id="50" w:name="_Toc259977398"/>
      <w:r w:rsidRPr="000967A4">
        <w:rPr>
          <w:lang w:val="fr-FR" w:eastAsia="en-ZA"/>
        </w:rPr>
        <w:t>Project Implementation Arrangements</w:t>
      </w:r>
      <w:bookmarkEnd w:id="50"/>
    </w:p>
    <w:p w14:paraId="2E541DAE" w:rsidR="00B34716" w:rsidRPr="000967A4" w:rsidRDefault="00B34716" w:rsidP="00B34716">
      <w:pPr>
        <w:tabs>
          <w:tab w:val="left" w:pos="540"/>
        </w:tabs>
        <w:jc w:val="both"/>
        <w:rPr>
          <w:b/>
          <w:lang w:val="fr-FR"/>
        </w:rPr>
      </w:pPr>
    </w:p>
    <w:p w14:paraId="66D0878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24EF2A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76994C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E7763AF"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2B17C5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D4F1B3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5BCDC5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C6445F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2CBE30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B91451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AEBE0EB"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8EE5D4F"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335AF9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B3ABE6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813F57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7A8C39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AE54B1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F83BE7B"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FBD937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88E7AC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A2FFA7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C177D0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42CD10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7C97E2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62F151B"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612D4F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029307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65B5CC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5A250E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78B9E2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A4BBE9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FD8C36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B7D20B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4D3D10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1A41AD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4C8368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FECB6B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6A1EC5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53D102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BE7B03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6D46DD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57824B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CAFD22B"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3ECCCF3"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DE30E1F"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8D398D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165A17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6B140A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7C87DE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0CDE00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A16E03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3123D1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9955ED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0BA239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424233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AB90A8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E2221A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FA0169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8484E9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C9EA76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D25EAC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F617F9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6C1F51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B4044E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145867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B131D8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D713C9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E61DE8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996A39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34BBEE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7BC0CE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4435EB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A46AE4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3D5E33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1BA0CF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4B7D5C3"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F67AAD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040040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9E6700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D5B7C3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4AD337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977EFC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E92DEE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4D470E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D74BDE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739818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643648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AC2FD2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0AFADD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6EB104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6A614E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04CA01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E599DC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89E68C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EC1C57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772EE43"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EB62F9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16F8D43"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2A7467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62CFF099"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B625C4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303C2F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D1A9D0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47CBEFB"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911D31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5D3818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8CB8EC4"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5BF7BA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F0016A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F6C4D7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B515FB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DE21D9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5B9A68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AECD25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7F173E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3ADFAF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0CEA0B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1ED843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DCB870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A0C04F1"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4CFB8F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2AE3F7E"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DB230B7"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2AB9348"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CA5AA0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176F6CD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5E9C0EC"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41A8458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5141DC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A471EA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601A625"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7DF81D9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D98BD96"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57167F72"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01F91FFD"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1A9708A"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2C5D52C0" w:rsidR="00B34716" w:rsidRPr="000967A4" w:rsidRDefault="00B34716" w:rsidP="00B34716">
      <w:pPr>
        <w:pStyle w:val="ListParagraph"/>
        <w:numPr>
          <w:ilvl w:val="0"/>
          <w:numId w:val="82"/>
        </w:numPr>
        <w:tabs>
          <w:tab w:val="left" w:pos="540"/>
        </w:tabs>
        <w:spacing w:after="0" w:line="240" w:lineRule="auto"/>
        <w:ind w:left="0" w:firstLine="0"/>
        <w:contextualSpacing w:val="0"/>
        <w:jc w:val="both"/>
        <w:rPr>
          <w:vanish/>
          <w:lang w:val="en-GB"/>
        </w:rPr>
      </w:pPr>
    </w:p>
    <w:p w14:paraId="3A161FE7" w:rsidR="00B34716" w:rsidRPr="00B34716" w:rsidRDefault="00B34716" w:rsidP="003039E6">
      <w:pPr>
        <w:numPr>
          <w:ilvl w:val="0"/>
          <w:numId w:val="82"/>
        </w:numPr>
        <w:tabs>
          <w:tab w:val="left" w:pos="540"/>
        </w:tabs>
        <w:spacing w:after="0" w:line="240" w:lineRule="auto"/>
        <w:ind w:left="0" w:firstLine="0"/>
        <w:jc w:val="both"/>
        <w:rPr>
          <w:rFonts w:ascii="Times New Roman" w:hAnsi="Times New Roman" w:cs="Times New Roman"/>
          <w:lang w:val="en-GB"/>
        </w:rPr>
      </w:pPr>
      <w:r w:rsidRPr="000967A4">
        <w:rPr>
          <w:rFonts w:ascii="Times New Roman" w:hAnsi="Times New Roman" w:cs="Times New Roman"/>
          <w:lang w:val="en-GB"/>
        </w:rPr>
        <w:t xml:space="preserve">The project will be executed under National Implementation Modality (NIM), with execution by the </w:t>
      </w:r>
      <w:r w:rsidR="003039E6" w:rsidRPr="000967A4">
        <w:rPr>
          <w:rFonts w:ascii="Times New Roman" w:hAnsi="Times New Roman" w:cs="Times New Roman"/>
          <w:lang w:val="en-GB"/>
        </w:rPr>
        <w:t>Ministry of Agriculture</w:t>
      </w:r>
      <w:r w:rsidR="00796F90" w:rsidRPr="000967A4">
        <w:rPr>
          <w:rFonts w:ascii="Times New Roman" w:hAnsi="Times New Roman" w:cs="Times New Roman"/>
          <w:lang w:val="en-GB"/>
        </w:rPr>
        <w:t>, Lands, Forestry, Fisheries</w:t>
      </w:r>
      <w:r w:rsidR="003039E6" w:rsidRPr="000967A4">
        <w:rPr>
          <w:rFonts w:ascii="Times New Roman" w:hAnsi="Times New Roman" w:cs="Times New Roman"/>
          <w:lang w:val="en-GB"/>
        </w:rPr>
        <w:t xml:space="preserve"> and the Environment</w:t>
      </w:r>
      <w:r w:rsidRPr="000967A4">
        <w:rPr>
          <w:rFonts w:ascii="Times New Roman" w:hAnsi="Times New Roman" w:cs="Times New Roman"/>
          <w:lang w:val="en-GB"/>
        </w:rPr>
        <w:t>, following UNDP’s Programme and Operations Policies and Procedures, per its role as implementing agency.  Execution of the project will be subject to oversight by a Project Steering Committee, detailed below. Day to day coordination will be carried out under the supervision of a Project Coordination Unit and corresponding staff, also detailed below. The</w:t>
      </w:r>
      <w:r w:rsidRPr="00B34716">
        <w:rPr>
          <w:rFonts w:ascii="Times New Roman" w:hAnsi="Times New Roman" w:cs="Times New Roman"/>
          <w:lang w:val="en-GB"/>
        </w:rPr>
        <w:t xml:space="preserve"> executing agency will take responsibility for different outcomes/activities according to existing capacities and field realities, ensuring effective and efficient use of GEF resources. </w:t>
      </w:r>
    </w:p>
    <w:p w14:paraId="1BC29DC9" w:rsidR="00B34716" w:rsidRPr="00B34716" w:rsidRDefault="00B34716" w:rsidP="00B34716">
      <w:pPr>
        <w:tabs>
          <w:tab w:val="left" w:pos="540"/>
        </w:tabs>
        <w:jc w:val="both"/>
        <w:rPr>
          <w:rFonts w:ascii="Times New Roman" w:hAnsi="Times New Roman" w:cs="Times New Roman"/>
          <w:lang w:val="en-GB"/>
        </w:rPr>
      </w:pPr>
    </w:p>
    <w:p w14:paraId="67A13C62" w:rsidR="00B34716" w:rsidRPr="00B34716" w:rsidRDefault="00796F90"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3039E6">
        <w:rPr>
          <w:rFonts w:ascii="Times New Roman" w:hAnsi="Times New Roman" w:cs="Times New Roman"/>
          <w:lang w:val="en-GB"/>
        </w:rPr>
        <w:t>Ministry of Agriculture</w:t>
      </w:r>
      <w:r>
        <w:rPr>
          <w:rFonts w:ascii="Times New Roman" w:hAnsi="Times New Roman" w:cs="Times New Roman"/>
          <w:lang w:val="en-GB"/>
        </w:rPr>
        <w:t>, Lands, Forestry, Fisheries</w:t>
      </w:r>
      <w:r w:rsidRPr="003039E6">
        <w:rPr>
          <w:rFonts w:ascii="Times New Roman" w:hAnsi="Times New Roman" w:cs="Times New Roman"/>
          <w:lang w:val="en-GB"/>
        </w:rPr>
        <w:t xml:space="preserve"> and the Environment </w:t>
      </w:r>
      <w:r>
        <w:rPr>
          <w:rFonts w:ascii="Times New Roman" w:hAnsi="Times New Roman" w:cs="Times New Roman"/>
          <w:lang w:val="en-GB"/>
        </w:rPr>
        <w:t xml:space="preserve">(MoA) </w:t>
      </w:r>
      <w:r w:rsidR="00B34716" w:rsidRPr="003039E6">
        <w:rPr>
          <w:rFonts w:ascii="Times New Roman" w:hAnsi="Times New Roman" w:cs="Times New Roman"/>
          <w:lang w:val="en-GB"/>
        </w:rPr>
        <w:t xml:space="preserve">is the official project </w:t>
      </w:r>
      <w:r w:rsidR="00B34716" w:rsidRPr="003039E6">
        <w:rPr>
          <w:rFonts w:ascii="Times New Roman" w:hAnsi="Times New Roman" w:cs="Times New Roman"/>
          <w:u w:val="single"/>
          <w:lang w:val="en-GB"/>
        </w:rPr>
        <w:t>Executing Agency</w:t>
      </w:r>
      <w:r w:rsidR="00B34716" w:rsidRPr="003039E6">
        <w:rPr>
          <w:rFonts w:ascii="Times New Roman" w:hAnsi="Times New Roman" w:cs="Times New Roman"/>
          <w:lang w:val="en-GB"/>
        </w:rPr>
        <w:t xml:space="preserve">, responsible for the fulfilment of the project’s results.  In addition, the Government of </w:t>
      </w:r>
      <w:r w:rsidR="003039E6" w:rsidRPr="003039E6">
        <w:rPr>
          <w:rFonts w:ascii="Times New Roman" w:hAnsi="Times New Roman" w:cs="Times New Roman"/>
          <w:lang w:val="en-GB"/>
        </w:rPr>
        <w:t xml:space="preserve">Grenada </w:t>
      </w:r>
      <w:r w:rsidR="00B34716" w:rsidRPr="003039E6">
        <w:rPr>
          <w:rFonts w:ascii="Times New Roman" w:hAnsi="Times New Roman" w:cs="Times New Roman"/>
          <w:lang w:val="en-GB"/>
        </w:rPr>
        <w:t>has designated the M</w:t>
      </w:r>
      <w:r>
        <w:rPr>
          <w:rFonts w:ascii="Times New Roman" w:hAnsi="Times New Roman" w:cs="Times New Roman"/>
          <w:lang w:val="en-GB"/>
        </w:rPr>
        <w:t>LFEE</w:t>
      </w:r>
      <w:r w:rsidR="00B34716" w:rsidRPr="00B34716">
        <w:rPr>
          <w:rFonts w:ascii="Times New Roman" w:hAnsi="Times New Roman" w:cs="Times New Roman"/>
          <w:lang w:val="en-GB"/>
        </w:rPr>
        <w:t xml:space="preserve"> as the official counterpart of UNDP in the country.  Its main responsibilities related to the project are to:</w:t>
      </w:r>
    </w:p>
    <w:p w14:paraId="7E6DF2C7"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 xml:space="preserve">Lead the project implementation with the support of the Project Coordination Unit (PCU); </w:t>
      </w:r>
    </w:p>
    <w:p w14:paraId="2083E8E2"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Participate together with UNDP, in selecting the Project Coordinator;</w:t>
      </w:r>
    </w:p>
    <w:p w14:paraId="3BC2E67F"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Designate a representative to act as a permanent liaison between UNDP, the Ministry of Foreign Affairs and the Project Coordinator, and to participate in the Project Steering Committee meetings, and others as required, to ensure that the necessary inputs are available to execute the project;</w:t>
      </w:r>
    </w:p>
    <w:p w14:paraId="71436063"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Prove the technical and administrative capacity to develop the project;</w:t>
      </w:r>
    </w:p>
    <w:p w14:paraId="7B99B094"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 xml:space="preserve">Monitor the project’s work plan and progress; </w:t>
      </w:r>
    </w:p>
    <w:p w14:paraId="18C3F74C"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Provide the name and describe the functions of the person or persons authorized to deal with UNDP concerning the project’s matters;</w:t>
      </w:r>
    </w:p>
    <w:p w14:paraId="5A92F98B"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Approve ToR for technical personnel and consultancies for project implementation;</w:t>
      </w:r>
    </w:p>
    <w:p w14:paraId="736CCB70"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Participate in the selection process of the consultants and approve all hiring and payment request;</w:t>
      </w:r>
    </w:p>
    <w:p w14:paraId="50ACF4E4"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Provide the name and describe the functions of the person or persons authorized to sign the project’s budget and/or substantive revisions of the project.</w:t>
      </w:r>
    </w:p>
    <w:p w14:paraId="2B13CA7E"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rPr>
        <w:t>Coordinating the activities of all other project partners, and providing overall technical oversight of programs and outputs of project contractors and short-term consultants (with the support of the PCU).</w:t>
      </w:r>
    </w:p>
    <w:p w14:paraId="36A44D91"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If necessary, to make a written request to UNDP for reports on the project;</w:t>
      </w:r>
    </w:p>
    <w:p w14:paraId="3CC8AB67"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To approve the annual audit plan for the project and, in accordance with UNDP standards and procedures, to convene an information and consultation meeting prior to the audit;</w:t>
      </w:r>
    </w:p>
    <w:p w14:paraId="13A40643" w:rsidR="00B34716" w:rsidRPr="00B34716" w:rsidRDefault="00B34716" w:rsidP="00B34716">
      <w:pPr>
        <w:numPr>
          <w:ilvl w:val="0"/>
          <w:numId w:val="79"/>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As required, to participate in tripartite meeting or in any follow-up or reorientation sessions.</w:t>
      </w:r>
    </w:p>
    <w:p w14:paraId="089B4185" w:rsidR="00B34716" w:rsidRPr="00B34716" w:rsidRDefault="00B34716" w:rsidP="00B34716">
      <w:pPr>
        <w:jc w:val="both"/>
        <w:rPr>
          <w:rFonts w:ascii="Times New Roman" w:hAnsi="Times New Roman" w:cs="Times New Roman"/>
          <w:lang w:val="en-GB"/>
        </w:rPr>
      </w:pPr>
    </w:p>
    <w:p w14:paraId="3E00379B"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 xml:space="preserve">The </w:t>
      </w:r>
      <w:r w:rsidRPr="00B34716">
        <w:rPr>
          <w:rFonts w:ascii="Times New Roman" w:hAnsi="Times New Roman" w:cs="Times New Roman"/>
          <w:u w:val="single"/>
          <w:lang w:val="en-GB"/>
        </w:rPr>
        <w:t>United Nations Development Programme (UNDP)</w:t>
      </w:r>
      <w:r w:rsidRPr="00B34716">
        <w:rPr>
          <w:rFonts w:ascii="Times New Roman" w:hAnsi="Times New Roman" w:cs="Times New Roman"/>
          <w:lang w:val="en-GB"/>
        </w:rPr>
        <w:t xml:space="preserve"> is the world development network established by the United Nations with a mandate to promote development in countries and to connect them to the knowledge, experience and resources needed to help people achieve a better life. Its main responsibilities related to the project are to:</w:t>
      </w:r>
    </w:p>
    <w:p w14:paraId="78B41CC1"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Designate a programme officer responsible for providing substantive and operational advice and to follow up and support the project’s development activities;</w:t>
      </w:r>
    </w:p>
    <w:p w14:paraId="35519239"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Advise the project on management decision making, as well as to guarantee quality assurance;</w:t>
      </w:r>
    </w:p>
    <w:p w14:paraId="2A6F09C6"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Be part of the project’s Steering Committee and other Committees or Groups considered part of the project structure;</w:t>
      </w:r>
    </w:p>
    <w:p w14:paraId="07D714F9"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Administer the financial resources agreed in the budget / workplan and approved by the project’s Steering Committee; monitor financial expenditures against project budgets / workplans; and oversee the provision of financial audits of the project;</w:t>
      </w:r>
    </w:p>
    <w:p w14:paraId="71A26647" w:rsidR="00B34716" w:rsidRPr="00B34716" w:rsidRDefault="00B34716" w:rsidP="00B34716">
      <w:pPr>
        <w:pStyle w:val="NumberedParas"/>
        <w:numPr>
          <w:ilvl w:val="0"/>
          <w:numId w:val="80"/>
        </w:numPr>
        <w:autoSpaceDE w:val="0"/>
        <w:autoSpaceDN w:val="0"/>
        <w:adjustRightInd w:val="0"/>
        <w:rPr>
          <w:lang w:val="en-GB"/>
        </w:rPr>
      </w:pPr>
      <w:r w:rsidRPr="00B34716">
        <w:rPr>
          <w:lang w:val="en-GB"/>
        </w:rPr>
        <w:t>Oversee the recruitment and hiring of project staff, the selection and hiring of project contractors and consultants; and the appointment of independent financial auditors and evaluators;</w:t>
      </w:r>
    </w:p>
    <w:p w14:paraId="4FE9C097"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Co-organize and participate in the events carried out in the framework of the Project;</w:t>
      </w:r>
    </w:p>
    <w:p w14:paraId="67234943"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eastAsia="x-none"/>
        </w:rPr>
        <w:t>Use national and international contact networks to assist the project’s activities and establish synergies between projects in common areas and/or in other areas that would be of assistance when discussing and analysing the project;</w:t>
      </w:r>
    </w:p>
    <w:p w14:paraId="70AB5DE2"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rPr>
        <w:t>Provide Support in the development and instrumentation of the project’s gender strategy.</w:t>
      </w:r>
    </w:p>
    <w:p w14:paraId="14B8F7F3" w:rsidR="00B34716" w:rsidRPr="00B34716" w:rsidRDefault="00B34716" w:rsidP="00B34716">
      <w:pPr>
        <w:numPr>
          <w:ilvl w:val="0"/>
          <w:numId w:val="80"/>
        </w:numPr>
        <w:spacing w:after="0" w:line="240" w:lineRule="auto"/>
        <w:jc w:val="both"/>
        <w:rPr>
          <w:rFonts w:ascii="Times New Roman" w:hAnsi="Times New Roman" w:cs="Times New Roman"/>
          <w:lang w:val="en-GB" w:eastAsia="x-none"/>
        </w:rPr>
      </w:pPr>
      <w:r w:rsidRPr="00B34716">
        <w:rPr>
          <w:rFonts w:ascii="Times New Roman" w:hAnsi="Times New Roman" w:cs="Times New Roman"/>
          <w:lang w:val="en-GB"/>
        </w:rPr>
        <w:t>Ensure that all project activities, including procurement and financial services, are carried out in strict compliance with the procedures of the UNDP / GEF.</w:t>
      </w:r>
    </w:p>
    <w:p w14:paraId="796AA74B" w:rsidR="00B34716" w:rsidRPr="00B34716" w:rsidRDefault="00B34716" w:rsidP="00B34716">
      <w:pPr>
        <w:rPr>
          <w:rFonts w:ascii="Times New Roman" w:hAnsi="Times New Roman" w:cs="Times New Roman"/>
          <w:lang w:val="en-GB"/>
        </w:rPr>
      </w:pPr>
    </w:p>
    <w:p w14:paraId="2D594224" w:rsidR="00B34716" w:rsidRPr="00796F90"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 xml:space="preserve">Component </w:t>
      </w:r>
      <w:r w:rsidRPr="00796F90">
        <w:rPr>
          <w:rFonts w:ascii="Times New Roman" w:hAnsi="Times New Roman" w:cs="Times New Roman"/>
          <w:lang w:val="en-GB"/>
        </w:rPr>
        <w:t xml:space="preserve">2 of the project is focused on site-based interventions at various existing and proposed terrestrial and marine protected area sites.  During the first two to three years of the project, implementation of the project at these sites will be led by those agencies currently responsible for the sites, namely: the </w:t>
      </w:r>
      <w:r w:rsidR="00796F90" w:rsidRPr="00796F90">
        <w:rPr>
          <w:rFonts w:ascii="Times New Roman" w:hAnsi="Times New Roman" w:cs="Times New Roman"/>
          <w:lang w:val="en-GB"/>
        </w:rPr>
        <w:t>Forestry and National Parks Department (FNPD); Land Use Division (LUD); and the Fisheries Division (FD)</w:t>
      </w:r>
      <w:r w:rsidRPr="00796F90">
        <w:rPr>
          <w:rFonts w:ascii="Times New Roman" w:hAnsi="Times New Roman" w:cs="Times New Roman"/>
          <w:lang w:val="en-GB"/>
        </w:rPr>
        <w:t>, all of which have designated staff to lead their institutional efforts for the project.  By the final year of the project, the newly established Protected Areas Agency (PAA) is expected to take over responsibility for the PA sites.  Details on the roles and responsibilities of these and other potential project partners will be further elucidated during the project inception phase, based on relevant activities established in the project work plan.</w:t>
      </w:r>
    </w:p>
    <w:p w14:paraId="00496002" w:rsidR="00B34716" w:rsidRPr="00796F90" w:rsidRDefault="00B34716" w:rsidP="00B34716">
      <w:pPr>
        <w:tabs>
          <w:tab w:val="left" w:pos="540"/>
        </w:tabs>
        <w:jc w:val="both"/>
        <w:rPr>
          <w:rFonts w:ascii="Times New Roman" w:hAnsi="Times New Roman" w:cs="Times New Roman"/>
          <w:lang w:val="en-GB"/>
        </w:rPr>
      </w:pPr>
    </w:p>
    <w:p w14:paraId="5EA3271A"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796F90">
        <w:rPr>
          <w:rFonts w:ascii="Times New Roman" w:hAnsi="Times New Roman" w:cs="Times New Roman"/>
          <w:lang w:val="en-GB"/>
        </w:rPr>
        <w:t xml:space="preserve">Project implementation will be carried out under the general guidance of a </w:t>
      </w:r>
      <w:r w:rsidRPr="00796F90">
        <w:rPr>
          <w:rFonts w:ascii="Times New Roman" w:hAnsi="Times New Roman" w:cs="Times New Roman"/>
          <w:u w:val="single"/>
          <w:lang w:val="en-GB"/>
        </w:rPr>
        <w:t>Project Steering Committee</w:t>
      </w:r>
      <w:r w:rsidRPr="00796F90">
        <w:rPr>
          <w:rFonts w:ascii="Times New Roman" w:hAnsi="Times New Roman" w:cs="Times New Roman"/>
          <w:lang w:val="en-GB"/>
        </w:rPr>
        <w:t xml:space="preserve"> (PSC), which will be co-chaired by UNDP and </w:t>
      </w:r>
      <w:r w:rsidR="00796F90" w:rsidRPr="00796F90">
        <w:rPr>
          <w:rFonts w:ascii="Times New Roman" w:hAnsi="Times New Roman" w:cs="Times New Roman"/>
          <w:lang w:val="en-GB"/>
        </w:rPr>
        <w:t>MoA</w:t>
      </w:r>
      <w:r w:rsidRPr="00796F90">
        <w:rPr>
          <w:rFonts w:ascii="Times New Roman" w:hAnsi="Times New Roman" w:cs="Times New Roman"/>
          <w:lang w:val="en-GB"/>
        </w:rPr>
        <w:t xml:space="preserve"> and will meet at least twice per year to review project progress and approve upcoming work</w:t>
      </w:r>
      <w:r w:rsidRPr="00B34716">
        <w:rPr>
          <w:rFonts w:ascii="Times New Roman" w:hAnsi="Times New Roman" w:cs="Times New Roman"/>
          <w:lang w:val="en-GB"/>
        </w:rPr>
        <w:t xml:space="preserve"> plans and corresponding budgets.  Other members of the PSC will inclu</w:t>
      </w:r>
      <w:r w:rsidRPr="00526856">
        <w:rPr>
          <w:rFonts w:ascii="Times New Roman" w:hAnsi="Times New Roman" w:cs="Times New Roman"/>
          <w:lang w:val="en-GB"/>
        </w:rPr>
        <w:t>de</w:t>
      </w:r>
      <w:r w:rsidRPr="000967A4">
        <w:rPr>
          <w:rFonts w:ascii="Times New Roman" w:hAnsi="Times New Roman" w:cs="Times New Roman"/>
          <w:lang w:val="en-GB"/>
        </w:rPr>
        <w:t xml:space="preserve">: </w:t>
      </w:r>
      <w:r w:rsidR="00526856" w:rsidRPr="000967A4">
        <w:rPr>
          <w:rFonts w:ascii="Times New Roman" w:hAnsi="Times New Roman" w:cs="Times New Roman"/>
          <w:lang w:val="en-GB"/>
        </w:rPr>
        <w:t>DFNP</w:t>
      </w:r>
      <w:r w:rsidR="00796F90" w:rsidRPr="000967A4">
        <w:rPr>
          <w:rFonts w:ascii="Times New Roman" w:hAnsi="Times New Roman" w:cs="Times New Roman"/>
          <w:lang w:val="en-GB"/>
        </w:rPr>
        <w:t xml:space="preserve">; </w:t>
      </w:r>
      <w:r w:rsidR="00526856" w:rsidRPr="000967A4">
        <w:rPr>
          <w:rFonts w:ascii="Times New Roman" w:hAnsi="Times New Roman" w:cs="Times New Roman"/>
          <w:lang w:val="en-GB"/>
        </w:rPr>
        <w:t>DF; LUD and</w:t>
      </w:r>
      <w:r w:rsidRPr="000967A4">
        <w:rPr>
          <w:rFonts w:ascii="Times New Roman" w:hAnsi="Times New Roman" w:cs="Times New Roman"/>
          <w:lang w:val="en-GB"/>
        </w:rPr>
        <w:t xml:space="preserve"> </w:t>
      </w:r>
      <w:r w:rsidR="00526856" w:rsidRPr="000967A4">
        <w:rPr>
          <w:rFonts w:ascii="Times New Roman" w:hAnsi="Times New Roman" w:cs="Times New Roman"/>
          <w:lang w:val="en-GB"/>
        </w:rPr>
        <w:t xml:space="preserve">Ministry of Tourism. </w:t>
      </w:r>
      <w:r w:rsidRPr="000967A4">
        <w:rPr>
          <w:rFonts w:ascii="Times New Roman" w:hAnsi="Times New Roman" w:cs="Times New Roman"/>
          <w:lang w:val="en-GB"/>
        </w:rPr>
        <w:t>Representatives</w:t>
      </w:r>
      <w:r w:rsidRPr="00B34716">
        <w:rPr>
          <w:rFonts w:ascii="Times New Roman" w:hAnsi="Times New Roman" w:cs="Times New Roman"/>
          <w:lang w:val="en-GB"/>
        </w:rPr>
        <w:t xml:space="preserve"> of other stakeholders may also be included in the PSC, as deemed appropriate and necessary (the membership of the PSC will be reviewed and recommended for approval at the project Inception Workshop).  </w:t>
      </w:r>
    </w:p>
    <w:p w14:paraId="08F3B25A" w:rsidR="00B34716" w:rsidRPr="00B34716" w:rsidRDefault="00B34716" w:rsidP="00B34716">
      <w:pPr>
        <w:tabs>
          <w:tab w:val="left" w:pos="540"/>
        </w:tabs>
        <w:jc w:val="both"/>
        <w:rPr>
          <w:rFonts w:ascii="Times New Roman" w:hAnsi="Times New Roman" w:cs="Times New Roman"/>
          <w:lang w:val="en-GB"/>
        </w:rPr>
      </w:pPr>
    </w:p>
    <w:p w14:paraId="2648035D"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The PSC will be in charge of the overall supervision of the project, providing strategic guidance for its implementation, ensuring that this proceeds in accordance with a coordinated framework of government policies and programs, and in accordance with the agreed strategies and targets laid out in this Project Document.  The responsibilities of the PSC shall include, but not be limited to: (1) Review, approve and amend this project document, including the Monitoring and Evaluation (M&amp;E) framework, the budget, and the implementation plan; (2) Monitor compliance with the Project’s objectives; (3) Discuss progress and identify solutions to problems facing any of the project´s partners; (4) Review and approve the AWP and the consolidated financial and progress reports; (5) During the life of the project, review proposals for major budget re-allocation such as major savings or cost increases, or for use of funds for significantly different activities; (6) Review evaluation findings related to impact, effectiveness and the sustainability of the project; (7) Monitor both the budget and the prompt delivery of financial, human and technical inputs to comply with the work plan; (8) Ensure the participation and ownership of stakeholders in achieving the objectives of the project; (9) Ensure communication of the project and its objectives to stakeholders and the public; (10) Approve the project communication strategy and public information plans prepared by the PSC; (11) Facilitate linkages with high-level decision making; (12) Convene ordinary meetings to consider the Technical Committee’s proposals and recommendations, as well as the progress made by the project; (13) approve and supervise the hiring and work of project staff; and (14) Convene, if necessary, extraordinary meetings.</w:t>
      </w:r>
    </w:p>
    <w:p w14:paraId="4750A837" w:rsidR="00B34716" w:rsidRPr="00B34716" w:rsidRDefault="00B34716" w:rsidP="00B34716">
      <w:pPr>
        <w:tabs>
          <w:tab w:val="left" w:pos="540"/>
        </w:tabs>
        <w:jc w:val="both"/>
        <w:rPr>
          <w:rFonts w:ascii="Times New Roman" w:hAnsi="Times New Roman" w:cs="Times New Roman"/>
          <w:lang w:val="en-GB"/>
        </w:rPr>
      </w:pPr>
    </w:p>
    <w:p w14:paraId="36B880CA"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color w:val="000000"/>
          <w:lang w:val="en-GB"/>
        </w:rPr>
      </w:pPr>
      <w:r w:rsidRPr="00B34716">
        <w:rPr>
          <w:rFonts w:ascii="Times New Roman" w:hAnsi="Times New Roman" w:cs="Times New Roman"/>
          <w:color w:val="333333"/>
          <w:lang w:val="en-GB"/>
        </w:rPr>
        <w:t xml:space="preserve">The PSC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w:t>
      </w:r>
      <w:r w:rsidRPr="00B34716">
        <w:rPr>
          <w:rFonts w:ascii="Times New Roman" w:hAnsi="Times New Roman" w:cs="Times New Roman"/>
          <w:color w:val="000000"/>
          <w:lang w:val="en-GB"/>
        </w:rPr>
        <w:t xml:space="preserve">Based on the approved Annual WorkPlan, the PSC can also consider and approve the quarterly plans (if applicable) and also approve any essential deviations from the original plans.  </w:t>
      </w:r>
      <w:r w:rsidRPr="00B34716">
        <w:rPr>
          <w:rFonts w:ascii="Times New Roman" w:hAnsi="Times New Roman" w:cs="Times New Roman"/>
          <w:color w:val="333333"/>
          <w:lang w:val="en-GB"/>
        </w:rPr>
        <w:t xml:space="preserve">In order to ensure UNDP’s ultimate accountability for the project results, PSC decisions will be made in accordance to standards that shall ensure management for development results, best value money, fairness, integrity, transparency and effective international competition.  In case consensus cannot be reached within the PSC, the final decision shall rest with the UNDP Project Manager.  </w:t>
      </w:r>
    </w:p>
    <w:p w14:paraId="562AE66D" w:rsidR="00B34716" w:rsidRPr="00B34716" w:rsidRDefault="00B34716" w:rsidP="00B34716">
      <w:pPr>
        <w:tabs>
          <w:tab w:val="left" w:pos="540"/>
        </w:tabs>
        <w:jc w:val="both"/>
        <w:rPr>
          <w:rFonts w:ascii="Times New Roman" w:hAnsi="Times New Roman" w:cs="Times New Roman"/>
          <w:lang w:val="en-GB"/>
        </w:rPr>
      </w:pPr>
    </w:p>
    <w:p w14:paraId="762A4A9D"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 xml:space="preserve">The </w:t>
      </w:r>
      <w:r w:rsidRPr="00B34716">
        <w:rPr>
          <w:rFonts w:ascii="Times New Roman" w:hAnsi="Times New Roman" w:cs="Times New Roman"/>
          <w:u w:val="single"/>
          <w:lang w:val="en-GB"/>
        </w:rPr>
        <w:t>National Project Director</w:t>
      </w:r>
      <w:r w:rsidRPr="00B34716">
        <w:rPr>
          <w:rFonts w:ascii="Times New Roman" w:hAnsi="Times New Roman" w:cs="Times New Roman"/>
          <w:lang w:val="en-GB"/>
        </w:rPr>
        <w:t xml:space="preserve"> (NPD), a senior staff member of MoSD, will be responsible for oversight of the Project and carries overall responsibility and accountability.  The NPD will keep the PSC updated on project advances and challenges as needed, and will report to the PSC on progress made and issues to be resolved.  The NPD will establish and provide overall guidance to the PCU, and is responsible for overseeing the work undertaken by the PCU team. The NPD will submit relevant documentation to the PSC for endorsement. </w:t>
      </w:r>
    </w:p>
    <w:p w14:paraId="0B9E1229" w:rsidR="00B34716" w:rsidRPr="00B34716" w:rsidRDefault="00B34716" w:rsidP="00B34716">
      <w:pPr>
        <w:tabs>
          <w:tab w:val="left" w:pos="540"/>
        </w:tabs>
        <w:jc w:val="both"/>
        <w:rPr>
          <w:rFonts w:ascii="Times New Roman" w:hAnsi="Times New Roman" w:cs="Times New Roman"/>
          <w:lang w:val="en-GB"/>
        </w:rPr>
      </w:pPr>
    </w:p>
    <w:p w14:paraId="044BD01C"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 xml:space="preserve">Day-to-day management and coordination of the project will be under the supervision of the </w:t>
      </w:r>
      <w:r w:rsidRPr="00B34716">
        <w:rPr>
          <w:rFonts w:ascii="Times New Roman" w:hAnsi="Times New Roman" w:cs="Times New Roman"/>
          <w:u w:val="single"/>
          <w:lang w:val="en-GB"/>
        </w:rPr>
        <w:t>Project Coordinator (PC).</w:t>
      </w:r>
      <w:r w:rsidRPr="00B34716">
        <w:rPr>
          <w:rFonts w:ascii="Times New Roman" w:hAnsi="Times New Roman" w:cs="Times New Roman"/>
          <w:lang w:val="en-GB"/>
        </w:rPr>
        <w:t xml:space="preserve">  The PC will report to the NPD (Project Director).  The PC will be supported by an Administrative Assistant.  The PC will be responsible for the general management actions of the project, such as the preparation of consolidated annual work plans and technical and financial reports to be presented to the PSC, with the aim of ensuring that advances in relation to the goals and key milestones of the project are achieved as planned.  Additional responsibilities of the PC will include: overall integration and follow-up of studies, research and project technical activities; assisting in the supervision of project implementation (liaising directly with the NPD); undertaking quarterly operational planning and providing guidance on day-to-day implementation; and ensuring institutional coordination among the project partner institutions and organizations.</w:t>
      </w:r>
    </w:p>
    <w:p w14:paraId="56EB58FE" w:rsidR="00B34716" w:rsidRPr="00B34716" w:rsidRDefault="00B34716" w:rsidP="00B34716">
      <w:pPr>
        <w:tabs>
          <w:tab w:val="left" w:pos="540"/>
        </w:tabs>
        <w:jc w:val="both"/>
        <w:rPr>
          <w:rFonts w:ascii="Times New Roman" w:hAnsi="Times New Roman" w:cs="Times New Roman"/>
          <w:lang w:val="en-GB"/>
        </w:rPr>
      </w:pPr>
    </w:p>
    <w:p w14:paraId="2C6ED053"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 xml:space="preserve">In addition to the Project Coordinator, Administrative Assistant, and the staff of various partner institutions who will participate in specific project activities, a series of short and medium-term consultancy contracts will be necessary in order to implement some of the technical aspects of the project.  Contracted companies and consultants will carry out targeted project activities under the technical supervision of the PCU and </w:t>
      </w:r>
      <w:r w:rsidR="00E35162" w:rsidRPr="00E35162">
        <w:rPr>
          <w:rFonts w:ascii="Times New Roman" w:hAnsi="Times New Roman" w:cs="Times New Roman"/>
          <w:lang w:val="en-GB"/>
        </w:rPr>
        <w:t>MoA</w:t>
      </w:r>
      <w:r w:rsidRPr="00E35162">
        <w:rPr>
          <w:rFonts w:ascii="Times New Roman" w:hAnsi="Times New Roman" w:cs="Times New Roman"/>
          <w:lang w:val="en-GB"/>
        </w:rPr>
        <w:t>,</w:t>
      </w:r>
      <w:r w:rsidRPr="00B34716">
        <w:rPr>
          <w:rFonts w:ascii="Times New Roman" w:hAnsi="Times New Roman" w:cs="Times New Roman"/>
          <w:lang w:val="en-GB"/>
        </w:rPr>
        <w:t xml:space="preserve"> and in coordination with relevant partners for different activities.  Terms of reference will be developed jointly by the PCU </w:t>
      </w:r>
      <w:r w:rsidRPr="00E35162">
        <w:rPr>
          <w:rFonts w:ascii="Times New Roman" w:hAnsi="Times New Roman" w:cs="Times New Roman"/>
          <w:lang w:val="en-GB"/>
        </w:rPr>
        <w:t xml:space="preserve">and </w:t>
      </w:r>
      <w:r w:rsidR="00E35162" w:rsidRPr="00E35162">
        <w:rPr>
          <w:rFonts w:ascii="Times New Roman" w:hAnsi="Times New Roman" w:cs="Times New Roman"/>
          <w:lang w:val="en-GB"/>
        </w:rPr>
        <w:t>MoA</w:t>
      </w:r>
      <w:r w:rsidRPr="00B34716">
        <w:rPr>
          <w:rFonts w:ascii="Times New Roman" w:hAnsi="Times New Roman" w:cs="Times New Roman"/>
          <w:lang w:val="en-GB"/>
        </w:rPr>
        <w:t xml:space="preserve"> and approved by the PSC in accordance with approved work plans. </w:t>
      </w:r>
    </w:p>
    <w:p w14:paraId="2711E2B3" w:rsidR="00B34716" w:rsidRPr="00B34716" w:rsidRDefault="00B34716" w:rsidP="00B34716">
      <w:pPr>
        <w:tabs>
          <w:tab w:val="left" w:pos="540"/>
        </w:tabs>
        <w:jc w:val="both"/>
        <w:rPr>
          <w:rFonts w:ascii="Times New Roman" w:hAnsi="Times New Roman" w:cs="Times New Roman"/>
          <w:lang w:val="en-GB"/>
        </w:rPr>
      </w:pPr>
    </w:p>
    <w:p w14:paraId="73E1B2B5" w:rsidR="00B34716" w:rsidRPr="00B34716" w:rsidRDefault="00B34716" w:rsidP="00B34716">
      <w:pPr>
        <w:numPr>
          <w:ilvl w:val="0"/>
          <w:numId w:val="82"/>
        </w:numPr>
        <w:tabs>
          <w:tab w:val="left" w:pos="540"/>
        </w:tabs>
        <w:spacing w:after="0" w:line="240" w:lineRule="auto"/>
        <w:ind w:left="0" w:firstLine="0"/>
        <w:jc w:val="both"/>
        <w:rPr>
          <w:rFonts w:ascii="Times New Roman" w:hAnsi="Times New Roman" w:cs="Times New Roman"/>
          <w:lang w:val="en-GB"/>
        </w:rPr>
      </w:pPr>
      <w:r w:rsidRPr="00B34716">
        <w:rPr>
          <w:rFonts w:ascii="Times New Roman" w:hAnsi="Times New Roman" w:cs="Times New Roman"/>
          <w:lang w:val="en-GB"/>
        </w:rPr>
        <w:t>The figure below presents the project organogram, showing the relationships between the main institutions to be involved with project implementation and the bodies to be established by the project, as per</w:t>
      </w:r>
      <w:r w:rsidRPr="00B34716">
        <w:rPr>
          <w:rFonts w:ascii="Times New Roman" w:hAnsi="Times New Roman" w:cs="Times New Roman"/>
          <w:color w:val="333333"/>
          <w:lang w:val="en-GB"/>
        </w:rPr>
        <w:t xml:space="preserve"> UNDP project requirements:</w:t>
      </w:r>
    </w:p>
    <w:p w14:paraId="3CDC7344" w:rsidR="00B34716" w:rsidRPr="00B34716" w:rsidRDefault="00B34716" w:rsidP="00B34716">
      <w:pPr>
        <w:numPr>
          <w:ilvl w:val="0"/>
          <w:numId w:val="81"/>
        </w:numPr>
        <w:spacing w:after="0" w:line="240" w:lineRule="auto"/>
        <w:jc w:val="both"/>
        <w:rPr>
          <w:rFonts w:ascii="Times New Roman" w:hAnsi="Times New Roman" w:cs="Times New Roman"/>
          <w:lang w:val="en-GB"/>
        </w:rPr>
      </w:pPr>
      <w:r w:rsidRPr="00B34716">
        <w:rPr>
          <w:rFonts w:ascii="Times New Roman" w:hAnsi="Times New Roman" w:cs="Times New Roman"/>
          <w:u w:val="single"/>
          <w:lang w:val="en-GB"/>
        </w:rPr>
        <w:t>Executive (UNDP):</w:t>
      </w:r>
      <w:r w:rsidRPr="00B34716">
        <w:rPr>
          <w:rFonts w:ascii="Times New Roman" w:hAnsi="Times New Roman" w:cs="Times New Roman"/>
          <w:lang w:val="en-GB"/>
        </w:rPr>
        <w:t xml:space="preserve"> individual representing the project ownership to chair the group.</w:t>
      </w:r>
    </w:p>
    <w:p w14:paraId="627CF57B" w:rsidR="00B34716" w:rsidRPr="00B34716" w:rsidRDefault="00B34716" w:rsidP="00E35162">
      <w:pPr>
        <w:numPr>
          <w:ilvl w:val="0"/>
          <w:numId w:val="81"/>
        </w:numPr>
        <w:spacing w:after="0" w:line="240" w:lineRule="auto"/>
        <w:jc w:val="both"/>
        <w:rPr>
          <w:rFonts w:ascii="Times New Roman" w:hAnsi="Times New Roman" w:cs="Times New Roman"/>
          <w:lang w:val="en-GB"/>
        </w:rPr>
      </w:pPr>
      <w:r w:rsidRPr="00B34716">
        <w:rPr>
          <w:rFonts w:ascii="Times New Roman" w:hAnsi="Times New Roman" w:cs="Times New Roman"/>
          <w:u w:val="single"/>
          <w:lang w:val="en-GB"/>
        </w:rPr>
        <w:t xml:space="preserve">Senior </w:t>
      </w:r>
      <w:r w:rsidRPr="00E35162">
        <w:rPr>
          <w:rFonts w:ascii="Times New Roman" w:hAnsi="Times New Roman" w:cs="Times New Roman"/>
          <w:u w:val="single"/>
          <w:lang w:val="en-GB"/>
        </w:rPr>
        <w:t>Supplier (</w:t>
      </w:r>
      <w:r w:rsidR="00E35162" w:rsidRPr="00E35162">
        <w:rPr>
          <w:rFonts w:ascii="Times New Roman" w:hAnsi="Times New Roman" w:cs="Times New Roman"/>
          <w:u w:val="single"/>
          <w:lang w:val="en-GB"/>
        </w:rPr>
        <w:t>Ministry of Agriculture, Lands, Forestry, Fisheries and the Environment</w:t>
      </w:r>
      <w:r w:rsidRPr="00E35162">
        <w:rPr>
          <w:rFonts w:ascii="Times New Roman" w:hAnsi="Times New Roman" w:cs="Times New Roman"/>
          <w:u w:val="single"/>
          <w:lang w:val="en-GB"/>
        </w:rPr>
        <w:t>):</w:t>
      </w:r>
      <w:r w:rsidRPr="00E35162">
        <w:rPr>
          <w:rFonts w:ascii="Times New Roman" w:hAnsi="Times New Roman" w:cs="Times New Roman"/>
          <w:lang w:val="en-GB"/>
        </w:rPr>
        <w:t xml:space="preserve"> I</w:t>
      </w:r>
      <w:r w:rsidRPr="00B34716">
        <w:rPr>
          <w:rFonts w:ascii="Times New Roman" w:hAnsi="Times New Roman" w:cs="Times New Roman"/>
          <w:lang w:val="en-GB"/>
        </w:rPr>
        <w:t>ndividual or group representing the interest</w:t>
      </w:r>
      <w:r w:rsidR="00E35162">
        <w:rPr>
          <w:rFonts w:ascii="Times New Roman" w:hAnsi="Times New Roman" w:cs="Times New Roman"/>
          <w:lang w:val="en-GB"/>
        </w:rPr>
        <w:t xml:space="preserve">s of the parties concerned that </w:t>
      </w:r>
      <w:r w:rsidRPr="00B34716">
        <w:rPr>
          <w:rFonts w:ascii="Times New Roman" w:hAnsi="Times New Roman" w:cs="Times New Roman"/>
          <w:lang w:val="en-GB"/>
        </w:rPr>
        <w:t xml:space="preserve">provide funding for specific cost sharing projects and/or technical expertise to the project. The Senior Supplier’s primary function within the Board is to provide guidance regarding the technical feasibility of the project.   </w:t>
      </w:r>
      <w:bookmarkStart w:id="51" w:name="_Toc161672920"/>
      <w:r w:rsidRPr="00B34716">
        <w:rPr>
          <w:rFonts w:ascii="Times New Roman" w:hAnsi="Times New Roman" w:cs="Times New Roman"/>
          <w:lang w:val="en-GB"/>
        </w:rPr>
        <w:t xml:space="preserve"> </w:t>
      </w:r>
    </w:p>
    <w:bookmarkEnd w:id="51"/>
    <w:p w14:paraId="70FB509B" w:rsidR="00B34716" w:rsidRPr="00B34716" w:rsidRDefault="00B34716" w:rsidP="00B34716">
      <w:pPr>
        <w:numPr>
          <w:ilvl w:val="0"/>
          <w:numId w:val="81"/>
        </w:numPr>
        <w:spacing w:after="0" w:line="240" w:lineRule="auto"/>
        <w:jc w:val="both"/>
        <w:rPr>
          <w:rFonts w:ascii="Times New Roman" w:hAnsi="Times New Roman" w:cs="Times New Roman"/>
          <w:lang w:val="en-GB"/>
        </w:rPr>
      </w:pPr>
      <w:r w:rsidRPr="00B34716">
        <w:rPr>
          <w:rFonts w:ascii="Times New Roman" w:hAnsi="Times New Roman" w:cs="Times New Roman"/>
          <w:u w:val="single"/>
          <w:lang w:val="en-GB"/>
        </w:rPr>
        <w:t>Senior Beneficiary (To be determined):</w:t>
      </w:r>
      <w:r w:rsidRPr="00B34716">
        <w:rPr>
          <w:rFonts w:ascii="Times New Roman" w:hAnsi="Times New Roman" w:cs="Times New Roman"/>
          <w:lang w:val="en-GB"/>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14:paraId="0A005344" w:rsidR="00B34716" w:rsidRPr="00B34716" w:rsidRDefault="00B34716" w:rsidP="00B34716">
      <w:pPr>
        <w:numPr>
          <w:ilvl w:val="0"/>
          <w:numId w:val="81"/>
        </w:numPr>
        <w:spacing w:after="0" w:line="240" w:lineRule="auto"/>
        <w:jc w:val="both"/>
        <w:rPr>
          <w:rFonts w:ascii="Times New Roman" w:hAnsi="Times New Roman" w:cs="Times New Roman"/>
          <w:lang w:val="en-GB"/>
        </w:rPr>
      </w:pPr>
      <w:r w:rsidRPr="00B34716">
        <w:rPr>
          <w:rFonts w:ascii="Times New Roman" w:hAnsi="Times New Roman" w:cs="Times New Roman"/>
          <w:u w:val="single"/>
          <w:lang w:val="en-GB"/>
        </w:rPr>
        <w:t>Project Assurance (UNDP)</w:t>
      </w:r>
      <w:r w:rsidRPr="00B34716">
        <w:rPr>
          <w:rFonts w:ascii="Times New Roman" w:hAnsi="Times New Roman" w:cs="Times New Roman"/>
          <w:lang w:val="en-GB"/>
        </w:rPr>
        <w:t>: Supports the Project Board Executive by carrying out objective and independent project oversight and monitoring functions.  The Project Manager and Project Assurance roles should never be held by the same individual for the same project.  A UNDP Staff member typically holds the Project Assurance role.</w:t>
      </w:r>
    </w:p>
    <w:p w14:paraId="03A2D11C" w:rsidR="00B34716" w:rsidRPr="00B34716" w:rsidRDefault="00B34716" w:rsidP="00B34716">
      <w:pPr>
        <w:pStyle w:val="NumberedParas"/>
        <w:numPr>
          <w:ilvl w:val="0"/>
          <w:numId w:val="0"/>
        </w:numPr>
        <w:autoSpaceDE w:val="0"/>
        <w:autoSpaceDN w:val="0"/>
        <w:adjustRightInd w:val="0"/>
        <w:rPr>
          <w:lang w:val="en-GB"/>
        </w:rPr>
      </w:pPr>
    </w:p>
    <w:p w14:paraId="4938FABD" w:rsidR="00B34716" w:rsidRPr="00B34716" w:rsidRDefault="00B34716" w:rsidP="00B34716">
      <w:pPr>
        <w:autoSpaceDE w:val="0"/>
        <w:autoSpaceDN w:val="0"/>
        <w:adjustRightInd w:val="0"/>
        <w:rPr>
          <w:rFonts w:ascii="Times New Roman" w:hAnsi="Times New Roman" w:cs="Times New Roman"/>
          <w:b/>
          <w:bCs/>
          <w:lang w:val="en-GB" w:eastAsia="en-ZA"/>
        </w:rPr>
      </w:pPr>
      <w:r w:rsidRPr="00B34716">
        <w:rPr>
          <w:rFonts w:ascii="Times New Roman" w:hAnsi="Times New Roman" w:cs="Times New Roman"/>
          <w:noProof/>
        </w:rPr>
        <mc:AlternateContent>
          <mc:Choice Requires="wpg">
            <w:drawing>
              <wp:inline distT="0" distB="0" distL="0" distR="0" wp14:anchorId="6FA04D01" wp14:editId="73B7203D">
                <wp:extent cx="6076950" cy="3904615"/>
                <wp:effectExtent l="0" t="0" r="38100" b="635"/>
                <wp:docPr id="30"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76950" cy="3904615"/>
                          <a:chOff x="1440" y="4848"/>
                          <a:chExt cx="9966" cy="6149"/>
                        </a:xfrm>
                      </wpg:grpSpPr>
                      <wps:wsp>
                        <wps:cNvPr id="31" name="AutoShape 28"/>
                        <wps:cNvSpPr>
                          <a:spLocks noChangeAspect="1" noChangeArrowheads="1" noTextEdit="1"/>
                        </wps:cNvSpPr>
                        <wps:spPr bwMode="auto">
                          <a:xfrm>
                            <a:off x="1440" y="4848"/>
                            <a:ext cx="9966" cy="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9"/>
                        <wps:cNvSpPr>
                          <a:spLocks noChangeArrowheads="1"/>
                        </wps:cNvSpPr>
                        <wps:spPr bwMode="auto">
                          <a:xfrm>
                            <a:off x="1635" y="9768"/>
                            <a:ext cx="3765" cy="108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A54174D" w:rsidR="003B23A1" w:rsidRPr="00881434" w:rsidRDefault="003B23A1" w:rsidP="00B34716">
                              <w:pPr>
                                <w:jc w:val="center"/>
                                <w:rPr>
                                  <w:b/>
                                  <w:sz w:val="18"/>
                                  <w:szCs w:val="18"/>
                                </w:rPr>
                              </w:pPr>
                              <w:r w:rsidRPr="00881434">
                                <w:rPr>
                                  <w:b/>
                                  <w:sz w:val="20"/>
                                  <w:szCs w:val="20"/>
                                </w:rPr>
                                <w:t>Partners - Government</w:t>
                              </w:r>
                            </w:p>
                            <w:p w14:paraId="24FD7C11" w:rsidR="003B23A1" w:rsidRPr="00881434" w:rsidRDefault="003B23A1" w:rsidP="00B34716">
                              <w:pPr>
                                <w:jc w:val="center"/>
                                <w:rPr>
                                  <w:sz w:val="20"/>
                                  <w:szCs w:val="20"/>
                                </w:rPr>
                              </w:pPr>
                              <w:r>
                                <w:rPr>
                                  <w:sz w:val="20"/>
                                  <w:szCs w:val="20"/>
                                </w:rPr>
                                <w:t>FNPD, LUD, AED, A/VD, MNIB, FD, MoT, NAWASA</w:t>
                              </w:r>
                            </w:p>
                            <w:p w14:paraId="191647D7" w:rsidR="003B23A1" w:rsidRPr="00C62DC7" w:rsidRDefault="003B23A1" w:rsidP="00B34716">
                              <w:pPr>
                                <w:jc w:val="center"/>
                                <w:rPr>
                                  <w:sz w:val="20"/>
                                  <w:szCs w:val="20"/>
                                </w:rPr>
                              </w:pPr>
                            </w:p>
                            <w:p w14:paraId="0945033B" w:rsidR="003B23A1" w:rsidRDefault="003B23A1" w:rsidP="00B34716">
                              <w:pPr>
                                <w:jc w:val="center"/>
                                <w:rPr>
                                  <w:sz w:val="18"/>
                                  <w:szCs w:val="18"/>
                                </w:rPr>
                              </w:pPr>
                            </w:p>
                          </w:txbxContent>
                        </wps:txbx>
                        <wps:bodyPr rot="0" vert="horz" wrap="square" lIns="91440" tIns="45720" rIns="91440" bIns="45720" anchor="t" anchorCtr="0" upright="1">
                          <a:noAutofit/>
                        </wps:bodyPr>
                      </wps:wsp>
                      <wps:wsp>
                        <wps:cNvPr id="33" name="Rectangle 30"/>
                        <wps:cNvSpPr>
                          <a:spLocks noChangeArrowheads="1"/>
                        </wps:cNvSpPr>
                        <wps:spPr bwMode="auto">
                          <a:xfrm>
                            <a:off x="8460" y="9805"/>
                            <a:ext cx="2880" cy="108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C57DE50" w:rsidR="003B23A1" w:rsidRPr="00881434" w:rsidRDefault="003B23A1" w:rsidP="00B34716">
                              <w:pPr>
                                <w:jc w:val="center"/>
                                <w:rPr>
                                  <w:b/>
                                  <w:sz w:val="20"/>
                                  <w:szCs w:val="20"/>
                                </w:rPr>
                              </w:pPr>
                              <w:r>
                                <w:rPr>
                                  <w:b/>
                                  <w:sz w:val="20"/>
                                  <w:szCs w:val="20"/>
                                </w:rPr>
                                <w:t>P</w:t>
                              </w:r>
                              <w:r w:rsidRPr="00C62DC7">
                                <w:rPr>
                                  <w:b/>
                                  <w:sz w:val="20"/>
                                  <w:szCs w:val="20"/>
                                </w:rPr>
                                <w:t>artner</w:t>
                              </w:r>
                              <w:r>
                                <w:rPr>
                                  <w:b/>
                                  <w:sz w:val="20"/>
                                  <w:szCs w:val="20"/>
                                </w:rPr>
                                <w:t>s – NGOs</w:t>
                              </w:r>
                            </w:p>
                            <w:p w14:paraId="01EE48FA" w:rsidR="003B23A1" w:rsidRPr="00EB563F" w:rsidRDefault="003B23A1" w:rsidP="00B34716">
                              <w:pPr>
                                <w:jc w:val="center"/>
                                <w:rPr>
                                  <w:sz w:val="20"/>
                                  <w:szCs w:val="20"/>
                                </w:rPr>
                              </w:pPr>
                            </w:p>
                          </w:txbxContent>
                        </wps:txbx>
                        <wps:bodyPr rot="0" vert="horz" wrap="square" lIns="91440" tIns="45720" rIns="91440" bIns="45720" anchor="t" anchorCtr="0" upright="1">
                          <a:noAutofit/>
                        </wps:bodyPr>
                      </wps:wsp>
                      <wps:wsp>
                        <wps:cNvPr id="34" name="Rectangle 33"/>
                        <wps:cNvSpPr>
                          <a:spLocks noChangeArrowheads="1"/>
                        </wps:cNvSpPr>
                        <wps:spPr bwMode="auto">
                          <a:xfrm>
                            <a:off x="5175" y="7923"/>
                            <a:ext cx="2841" cy="130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23F0AEE" w:rsidR="003B23A1" w:rsidRPr="005B2C35" w:rsidRDefault="003B23A1" w:rsidP="00B34716">
                              <w:pPr>
                                <w:jc w:val="center"/>
                                <w:rPr>
                                  <w:b/>
                                  <w:sz w:val="20"/>
                                  <w:szCs w:val="20"/>
                                </w:rPr>
                              </w:pPr>
                              <w:r>
                                <w:rPr>
                                  <w:b/>
                                  <w:sz w:val="20"/>
                                  <w:szCs w:val="20"/>
                                </w:rPr>
                                <w:t xml:space="preserve">Project Coordination Unit </w:t>
                              </w:r>
                              <w:r>
                                <w:rPr>
                                  <w:sz w:val="20"/>
                                  <w:szCs w:val="20"/>
                                </w:rPr>
                                <w:t>(Project Coordinator and Administrative Assistant – within MoA)</w:t>
                              </w:r>
                            </w:p>
                            <w:p w14:paraId="2A203781" w:rsidR="003B23A1" w:rsidRPr="00C504EE" w:rsidRDefault="003B23A1" w:rsidP="00B34716">
                              <w:pPr>
                                <w:jc w:val="center"/>
                                <w:rPr>
                                  <w:sz w:val="20"/>
                                  <w:szCs w:val="20"/>
                                </w:rPr>
                              </w:pPr>
                            </w:p>
                            <w:p w14:paraId="17B77BCB" w:rsidR="003B23A1" w:rsidRPr="00EB563F" w:rsidRDefault="003B23A1" w:rsidP="00B34716">
                              <w:pPr>
                                <w:jc w:val="center"/>
                                <w:rPr>
                                  <w:sz w:val="20"/>
                                  <w:szCs w:val="20"/>
                                </w:rPr>
                              </w:pPr>
                            </w:p>
                          </w:txbxContent>
                        </wps:txbx>
                        <wps:bodyPr rot="0" vert="horz" wrap="square" lIns="91440" tIns="45720" rIns="91440" bIns="45720" anchor="t" anchorCtr="0" upright="1">
                          <a:noAutofit/>
                        </wps:bodyPr>
                      </wps:wsp>
                      <wps:wsp>
                        <wps:cNvPr id="35" name="Rectangle 34"/>
                        <wps:cNvSpPr>
                          <a:spLocks noChangeArrowheads="1"/>
                        </wps:cNvSpPr>
                        <wps:spPr bwMode="auto">
                          <a:xfrm>
                            <a:off x="2406" y="5733"/>
                            <a:ext cx="7974" cy="462"/>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74AA984" w:rsidR="003B23A1" w:rsidRDefault="003B23A1" w:rsidP="00B34716">
                              <w:pPr>
                                <w:jc w:val="center"/>
                                <w:rPr>
                                  <w:b/>
                                </w:rPr>
                              </w:pPr>
                              <w:r>
                                <w:rPr>
                                  <w:b/>
                                </w:rPr>
                                <w:t>Project Steering Committee</w:t>
                              </w:r>
                            </w:p>
                          </w:txbxContent>
                        </wps:txbx>
                        <wps:bodyPr rot="0" vert="horz" wrap="square" lIns="91440" tIns="45720" rIns="91440" bIns="45720" anchor="t" anchorCtr="0" upright="1">
                          <a:noAutofit/>
                        </wps:bodyPr>
                      </wps:wsp>
                      <wps:wsp>
                        <wps:cNvPr id="36" name="Rectangle 35"/>
                        <wps:cNvSpPr>
                          <a:spLocks noChangeArrowheads="1"/>
                        </wps:cNvSpPr>
                        <wps:spPr bwMode="auto">
                          <a:xfrm>
                            <a:off x="2406" y="6093"/>
                            <a:ext cx="2934" cy="112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FD88AFF" w:rsidR="003B23A1" w:rsidRPr="00C504EE" w:rsidRDefault="003B23A1" w:rsidP="00B34716">
                              <w:pPr>
                                <w:jc w:val="center"/>
                                <w:rPr>
                                  <w:b/>
                                  <w:bCs/>
                                  <w:sz w:val="20"/>
                                  <w:szCs w:val="20"/>
                                </w:rPr>
                              </w:pPr>
                              <w:r w:rsidRPr="00C504EE">
                                <w:rPr>
                                  <w:b/>
                                  <w:bCs/>
                                  <w:sz w:val="20"/>
                                  <w:szCs w:val="20"/>
                                </w:rPr>
                                <w:t xml:space="preserve">Senior Beneficiary: </w:t>
                              </w:r>
                            </w:p>
                            <w:p w14:paraId="2709EE8C" w:rsidR="003B23A1" w:rsidRPr="00095C53" w:rsidRDefault="003B23A1" w:rsidP="00B34716">
                              <w:pPr>
                                <w:jc w:val="center"/>
                                <w:rPr>
                                  <w:sz w:val="18"/>
                                  <w:szCs w:val="18"/>
                                </w:rPr>
                              </w:pPr>
                              <w:r>
                                <w:rPr>
                                  <w:sz w:val="18"/>
                                  <w:szCs w:val="18"/>
                                </w:rPr>
                                <w:t>To be determined at Project Inception</w:t>
                              </w:r>
                              <w:r w:rsidRPr="00095C53">
                                <w:rPr>
                                  <w:sz w:val="18"/>
                                  <w:szCs w:val="18"/>
                                </w:rPr>
                                <w:t xml:space="preserve"> </w:t>
                              </w:r>
                              <w:r w:rsidRPr="00095C53">
                                <w:rPr>
                                  <w:b/>
                                  <w:bCs/>
                                  <w:sz w:val="18"/>
                                  <w:szCs w:val="18"/>
                                </w:rPr>
                                <w:t xml:space="preserve"> </w:t>
                              </w:r>
                            </w:p>
                          </w:txbxContent>
                        </wps:txbx>
                        <wps:bodyPr rot="0" vert="horz" wrap="square" lIns="91440" tIns="45720" rIns="91440" bIns="45720" anchor="t" anchorCtr="0" upright="1">
                          <a:noAutofit/>
                        </wps:bodyPr>
                      </wps:wsp>
                      <wps:wsp>
                        <wps:cNvPr id="37" name="Rectangle 36"/>
                        <wps:cNvSpPr>
                          <a:spLocks noChangeArrowheads="1"/>
                        </wps:cNvSpPr>
                        <wps:spPr bwMode="auto">
                          <a:xfrm>
                            <a:off x="5340" y="6093"/>
                            <a:ext cx="2520" cy="112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7D8B917" w:rsidR="003B23A1" w:rsidRPr="00EB563F" w:rsidRDefault="003B23A1" w:rsidP="00B34716">
                              <w:pPr>
                                <w:jc w:val="center"/>
                                <w:rPr>
                                  <w:b/>
                                  <w:sz w:val="20"/>
                                  <w:szCs w:val="20"/>
                                </w:rPr>
                              </w:pPr>
                              <w:r>
                                <w:rPr>
                                  <w:b/>
                                  <w:sz w:val="20"/>
                                  <w:szCs w:val="20"/>
                                </w:rPr>
                                <w:t xml:space="preserve">Executive: </w:t>
                              </w:r>
                              <w:r>
                                <w:rPr>
                                  <w:sz w:val="20"/>
                                  <w:szCs w:val="20"/>
                                </w:rPr>
                                <w:t xml:space="preserve">GEF </w:t>
                              </w:r>
                              <w:r w:rsidRPr="00FE70BF">
                                <w:rPr>
                                  <w:sz w:val="20"/>
                                  <w:szCs w:val="20"/>
                                </w:rPr>
                                <w:t>Operational Focal Point (</w:t>
                              </w:r>
                              <w:r w:rsidRPr="00E35162">
                                <w:rPr>
                                  <w:sz w:val="20"/>
                                  <w:szCs w:val="20"/>
                                </w:rPr>
                                <w:t>Ministry of Agriculture, Lands,</w:t>
                              </w:r>
                              <w:r>
                                <w:rPr>
                                  <w:rFonts w:ascii="Times New Roman" w:hAnsi="Times New Roman" w:cs="Times New Roman"/>
                                  <w:lang w:val="en-GB"/>
                                </w:rPr>
                                <w:t xml:space="preserve"> Forestry, Fisheries</w:t>
                              </w:r>
                              <w:r w:rsidRPr="003039E6">
                                <w:rPr>
                                  <w:rFonts w:ascii="Times New Roman" w:hAnsi="Times New Roman" w:cs="Times New Roman"/>
                                  <w:lang w:val="en-GB"/>
                                </w:rPr>
                                <w:t xml:space="preserve"> and the Environment</w:t>
                              </w:r>
                              <w:r w:rsidRPr="00FE70BF">
                                <w:rPr>
                                  <w:sz w:val="20"/>
                                  <w:szCs w:val="20"/>
                                </w:rPr>
                                <w:t>)</w:t>
                              </w:r>
                              <w:r>
                                <w:rPr>
                                  <w:b/>
                                  <w:sz w:val="18"/>
                                  <w:szCs w:val="18"/>
                                </w:rPr>
                                <w:t xml:space="preserve"> </w:t>
                              </w:r>
                            </w:p>
                          </w:txbxContent>
                        </wps:txbx>
                        <wps:bodyPr rot="0" vert="horz" wrap="square" lIns="91440" tIns="45720" rIns="91440" bIns="45720" anchor="t" anchorCtr="0" upright="1">
                          <a:noAutofit/>
                        </wps:bodyPr>
                      </wps:wsp>
                      <wps:wsp>
                        <wps:cNvPr id="38" name="Rectangle 37"/>
                        <wps:cNvSpPr>
                          <a:spLocks noChangeArrowheads="1"/>
                        </wps:cNvSpPr>
                        <wps:spPr bwMode="auto">
                          <a:xfrm>
                            <a:off x="7860" y="6093"/>
                            <a:ext cx="2520" cy="112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E406E70" w:rsidR="003B23A1" w:rsidRPr="00C504EE" w:rsidRDefault="003B23A1" w:rsidP="00B34716">
                              <w:pPr>
                                <w:jc w:val="center"/>
                                <w:rPr>
                                  <w:b/>
                                  <w:bCs/>
                                  <w:sz w:val="20"/>
                                  <w:szCs w:val="20"/>
                                </w:rPr>
                              </w:pPr>
                              <w:r w:rsidRPr="00C504EE">
                                <w:rPr>
                                  <w:b/>
                                  <w:bCs/>
                                  <w:sz w:val="20"/>
                                  <w:szCs w:val="20"/>
                                </w:rPr>
                                <w:t>Senior Supplier:</w:t>
                              </w:r>
                            </w:p>
                            <w:p w14:paraId="187A974A" w:rsidR="003B23A1" w:rsidRPr="00FE70BF" w:rsidRDefault="003B23A1" w:rsidP="00B34716">
                              <w:pPr>
                                <w:jc w:val="center"/>
                                <w:rPr>
                                  <w:sz w:val="18"/>
                                  <w:szCs w:val="18"/>
                                  <w:lang w:val="en-GB"/>
                                </w:rPr>
                              </w:pPr>
                              <w:r w:rsidRPr="00FE70BF">
                                <w:rPr>
                                  <w:sz w:val="18"/>
                                  <w:szCs w:val="18"/>
                                </w:rPr>
                                <w:t>UNDP</w:t>
                              </w:r>
                            </w:p>
                          </w:txbxContent>
                        </wps:txbx>
                        <wps:bodyPr rot="0" vert="horz" wrap="square" lIns="91440" tIns="45720" rIns="91440" bIns="45720" anchor="t" anchorCtr="0" upright="1">
                          <a:noAutofit/>
                        </wps:bodyPr>
                      </wps:wsp>
                      <wps:wsp>
                        <wps:cNvPr id="39" name="AutoShape 38"/>
                        <wps:cNvCnPr>
                          <a:cxnSpLocks noChangeShapeType="1"/>
                          <a:stCxn id="37" idx="2"/>
                          <a:endCxn id="34" idx="0"/>
                        </wps:cNvCnPr>
                        <wps:spPr bwMode="auto">
                          <a:xfrm flipH="1">
                            <a:off x="6596" y="7215"/>
                            <a:ext cx="4" cy="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39"/>
                        <wps:cNvSpPr>
                          <a:spLocks noChangeArrowheads="1"/>
                        </wps:cNvSpPr>
                        <wps:spPr bwMode="auto">
                          <a:xfrm>
                            <a:off x="2550" y="7683"/>
                            <a:ext cx="2520" cy="64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BEFD270" w:rsidR="003B23A1" w:rsidRPr="00C504EE" w:rsidRDefault="003B23A1" w:rsidP="00B34716">
                              <w:pPr>
                                <w:jc w:val="center"/>
                                <w:rPr>
                                  <w:b/>
                                  <w:sz w:val="20"/>
                                  <w:szCs w:val="20"/>
                                </w:rPr>
                              </w:pPr>
                              <w:r w:rsidRPr="00C504EE">
                                <w:rPr>
                                  <w:b/>
                                  <w:sz w:val="20"/>
                                  <w:szCs w:val="20"/>
                                </w:rPr>
                                <w:t>Project Assurance</w:t>
                              </w:r>
                            </w:p>
                            <w:p w14:paraId="6A791916" w:rsidR="003B23A1" w:rsidRPr="00C504EE" w:rsidRDefault="003B23A1" w:rsidP="00B34716">
                              <w:pPr>
                                <w:pStyle w:val="BodyText3"/>
                                <w:jc w:val="center"/>
                                <w:rPr>
                                  <w:bCs/>
                                </w:rPr>
                              </w:pPr>
                              <w:r w:rsidRPr="00C504EE">
                                <w:rPr>
                                  <w:bCs/>
                                </w:rPr>
                                <w:t>UNDP</w:t>
                              </w:r>
                            </w:p>
                          </w:txbxContent>
                        </wps:txbx>
                        <wps:bodyPr rot="0" vert="horz" wrap="square" lIns="91440" tIns="45720" rIns="91440" bIns="45720" anchor="t" anchorCtr="0" upright="1">
                          <a:noAutofit/>
                        </wps:bodyPr>
                      </wps:wsp>
                      <wps:wsp>
                        <wps:cNvPr id="41" name="Rectangle 40"/>
                        <wps:cNvSpPr>
                          <a:spLocks noChangeArrowheads="1"/>
                        </wps:cNvSpPr>
                        <wps:spPr bwMode="auto">
                          <a:xfrm>
                            <a:off x="8655" y="8013"/>
                            <a:ext cx="2121" cy="11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A64F187" w:rsidR="003B23A1" w:rsidRDefault="003B23A1" w:rsidP="00B34716">
                              <w:pPr>
                                <w:jc w:val="center"/>
                                <w:rPr>
                                  <w:sz w:val="20"/>
                                  <w:szCs w:val="20"/>
                                </w:rPr>
                              </w:pPr>
                              <w:r>
                                <w:rPr>
                                  <w:b/>
                                  <w:sz w:val="20"/>
                                  <w:szCs w:val="20"/>
                                </w:rPr>
                                <w:t>Administrative &amp; Financial Support</w:t>
                              </w:r>
                            </w:p>
                            <w:p w14:paraId="63C32246" w:rsidR="003B23A1" w:rsidRPr="00C62DC7" w:rsidRDefault="003B23A1" w:rsidP="00B34716">
                              <w:pPr>
                                <w:jc w:val="center"/>
                                <w:rPr>
                                  <w:sz w:val="20"/>
                                  <w:szCs w:val="20"/>
                                </w:rPr>
                              </w:pPr>
                              <w:r>
                                <w:rPr>
                                  <w:sz w:val="20"/>
                                  <w:szCs w:val="20"/>
                                </w:rPr>
                                <w:t>MoA</w:t>
                              </w:r>
                            </w:p>
                            <w:p w14:paraId="7FEBCCC6" w:rsidR="003B23A1" w:rsidRDefault="003B23A1" w:rsidP="00B34716">
                              <w:pPr>
                                <w:spacing w:before="120"/>
                                <w:jc w:val="center"/>
                                <w:rPr>
                                  <w:sz w:val="18"/>
                                  <w:szCs w:val="18"/>
                                </w:rPr>
                              </w:pPr>
                            </w:p>
                          </w:txbxContent>
                        </wps:txbx>
                        <wps:bodyPr rot="0" vert="horz" wrap="square" lIns="91440" tIns="45720" rIns="91440" bIns="45720" anchor="t" anchorCtr="0" upright="1">
                          <a:noAutofit/>
                        </wps:bodyPr>
                      </wps:wsp>
                      <wps:wsp>
                        <wps:cNvPr id="42" name="AutoShape 41"/>
                        <wps:cNvCnPr>
                          <a:cxnSpLocks noChangeShapeType="1"/>
                          <a:stCxn id="34" idx="3"/>
                          <a:endCxn id="41" idx="1"/>
                        </wps:cNvCnPr>
                        <wps:spPr bwMode="auto">
                          <a:xfrm flipV="1">
                            <a:off x="8016" y="8568"/>
                            <a:ext cx="639"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2"/>
                        <wps:cNvSpPr>
                          <a:spLocks noChangeArrowheads="1"/>
                        </wps:cNvSpPr>
                        <wps:spPr bwMode="auto">
                          <a:xfrm>
                            <a:off x="2160" y="5013"/>
                            <a:ext cx="8901" cy="540"/>
                          </a:xfrm>
                          <a:prstGeom prst="roundRect">
                            <a:avLst>
                              <a:gd name="adj" fmla="val 16667"/>
                            </a:avLst>
                          </a:prstGeom>
                          <a:solidFill>
                            <a:srgbClr val="99CCFF"/>
                          </a:solidFill>
                          <a:ln w="9525">
                            <a:solidFill>
                              <a:srgbClr val="000000"/>
                            </a:solidFill>
                            <a:round/>
                            <a:headEnd/>
                            <a:tailEnd/>
                          </a:ln>
                        </wps:spPr>
                        <wps:txbx>
                          <w:txbxContent>
                            <w:p w14:paraId="669DC4F9" w:rsidR="003B23A1" w:rsidRPr="001D0B24" w:rsidRDefault="003B23A1" w:rsidP="00B34716">
                              <w:pPr>
                                <w:jc w:val="center"/>
                                <w:rPr>
                                  <w:b/>
                                </w:rPr>
                              </w:pPr>
                              <w:r w:rsidRPr="001D0B24">
                                <w:rPr>
                                  <w:b/>
                                </w:rPr>
                                <w:t>Project Organization Structure</w:t>
                              </w:r>
                            </w:p>
                          </w:txbxContent>
                        </wps:txbx>
                        <wps:bodyPr rot="0" vert="horz" wrap="square" lIns="91440" tIns="45720" rIns="91440" bIns="45720" anchor="t" anchorCtr="0" upright="1">
                          <a:noAutofit/>
                        </wps:bodyPr>
                      </wps:wsp>
                      <wps:wsp>
                        <wps:cNvPr id="44" name="AutoShape 43"/>
                        <wps:cNvCnPr>
                          <a:cxnSpLocks noChangeShapeType="1"/>
                          <a:stCxn id="34" idx="2"/>
                          <a:endCxn id="32" idx="0"/>
                        </wps:cNvCnPr>
                        <wps:spPr bwMode="auto">
                          <a:xfrm rot="5400000">
                            <a:off x="4787" y="7959"/>
                            <a:ext cx="540" cy="307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44"/>
                        <wps:cNvCnPr>
                          <a:cxnSpLocks noChangeShapeType="1"/>
                          <a:stCxn id="40" idx="0"/>
                          <a:endCxn id="37" idx="2"/>
                        </wps:cNvCnPr>
                        <wps:spPr bwMode="auto">
                          <a:xfrm rot="5400000" flipH="1" flipV="1">
                            <a:off x="4971" y="6054"/>
                            <a:ext cx="468" cy="279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46"/>
                        <wps:cNvCnPr>
                          <a:cxnSpLocks noChangeShapeType="1"/>
                          <a:stCxn id="34" idx="2"/>
                        </wps:cNvCnPr>
                        <wps:spPr bwMode="auto">
                          <a:xfrm rot="16200000" flipH="1">
                            <a:off x="8289" y="7535"/>
                            <a:ext cx="269" cy="36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48"/>
                        <wps:cNvCnPr>
                          <a:cxnSpLocks noChangeShapeType="1"/>
                        </wps:cNvCnPr>
                        <wps:spPr bwMode="auto">
                          <a:xfrm>
                            <a:off x="10250" y="9497"/>
                            <a:ext cx="1"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w14:anchorId="1D79BBA5">
              <v:group w14:anchorId="6FA04D01" id="Group 30" o:spid="_x0000_s1027" style="width:478.5pt;height:307.45pt;mso-position-horizontal-relative:char;mso-position-vertical-relative:line" coordorigin="1440,4848" coordsize="9966,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d8zwcAALQ6AAAOAAAAZHJzL2Uyb0RvYy54bWzsW21vo0YQ/l6p/wHx3WfeYa1zTlccXytd&#10;21Pv2n7eALZpMUuBxE6r/vfOzsKyxvYlThyrkciHCLywL7PzzDwzs7x9t11n2l1SVinLp7r5xtC1&#10;JI9YnObLqf7rl/ko0LWqpnlMM5YnU/0+qfR3V99+83ZTTBKLrVgWJ6UGneTVZFNM9VVdF5PxuIpW&#10;yZpWb1iR5NC4YOWa1nBbLsdxSTfQ+zobW4bhjTesjIuSRUlVwa8z0ahfYf+LRRLVPy8WVVJr2VSH&#10;udX4v8T/N/z/+OotnSxLWqzSqJkGfcIs1jTNYVDZ1YzWVLst072u1mlUsoot6jcRW4/ZYpFGCa4B&#10;VmMavdV8KNltgWtZTjbLQooJRNuT05O7jX66+1RqaTzVbRBPTtewRzisBvcgnE2xnMAzH8ric/Gp&#10;FCuEy48s+rPSchauaL5M3lcFCBq2n78x7r/C75fife1m8yOLYQh6WzOU13ZRrnmvIAlti9tyL7cl&#10;2dZaBD96hu8RF6YXQZtNDMczXbFx0Qp2l79nOg60Q7MTOEHbdt28T4jniZc90yE4RzoRA+Nkm8nx&#10;xYISVp2cq+fJ+fOKFgluX8Vl2MrZbOX8HoSAz2gWzpkPD8+1gq6OSrkTfFmyzSqhMcyUd8u+gMyu&#10;41TZC6VL3n8Fu/jgLhyQZrsXX5ElnRRlVX9I2FrjF1O9BKXATaZ3H6uaq0b3CN/znM3TLEMEZvnO&#10;D/Cg+AWGhVd5G58AAuofYpDr4DpwRo7lXY8cYzYbvZ+Hzsibm747s2dhODP/5eOazmSVxnGS82Fa&#10;cJvO4za1MTMClhLeFcvSmHfHp1SVy5swK7U7CsZljn+NcimPjXengUKAtfSWZFqO8Z1FRnMv8EfO&#10;3HFHxDeCkWGS74hnOMSZzXeX9DHNk+cvSdtMdeJaLu6SMune2gz8218bnazTGsx3lq6neiAfohOu&#10;ktd5jFtb0zQT14oo+PQ7UcB2txsNgBRKKtB4w+J7UNiSgToBwMHRwMWKlX/r2gaM9lSv/rqlZaJr&#10;2Q85YIAIza3xxnF9C94p1ZYbtYXmEXQ11WtdE5dhLTzDbVGmyxWMZKJgcsaRukhRhfn8xKzQ1KHB&#10;uJTlsFrL8QsgCwxvlmgW2rOHLMeOmRA2+kl2wbNdtLLE9xory2HJbbTte9DEDbRpBOg5YFNb436i&#10;XTiuiBxjpLXgO49l+aV1ubVQSDIaI8VuAQ6fV/FGi1NuAU3D9z1bhztQLMsXCNFotgSuFNUlKCer&#10;f0/rFXoBruF7ZiUAaYI8+e80K1ZUGBuX99TiUVghRJMcX2Crm1oPVvX2ZotOHz12p9ID0AQVgi0T&#10;VKgDWkuHFNyAley76DMBLXA8QWdIYDRUpwWaFYA6DEB7bUCzOFoHoKEIFC7sHACa3Yrqa1z4TEBz&#10;gTKiR/OJheMKosk9mhU4QKnRo9kChC/j0cJw8GhT/WweTWrPQB3VoBO0fM+jORcEGsQ3EIMDPXR9&#10;uwc0n/hgBjjQHA/N5MvgjJCOMqlR3MAceVx+MnOUyjPgTMUZKPkezpDBXShEkzjzDNLDmUXsBmem&#10;ab0g0MJwANoZHZrUngFoKtD8A0DzLujQXLvJOB8AmsvzTsgcB6C9nlyI1J4BaCrQoIC359H8CwLN&#10;D5pcyAA04GlNWaTL7CnU7bUkHaX2DEBTgUZaoHV1QVutC4a5KMBG27xfgMX88Zf7AiqrmNGFzGQd&#10;bnORzARPmcY8ocFBC/mNPJZNwAexSeSSG4oqxuE3x4uF2iJLi+/bAklTvPVcImI832oLtG3WsiGe&#10;UNPikzge4FV1SXnpJWR5DjUOVooKzGMKiM/O/0OxvSlZHStftej7nxUlZR1VKbCJGiUIGnZAFAOa&#10;SfcqAQKCbUkIit8XqmVx8rTnVi5Zy7JcfqIAkg5QyuoHSpK/eQ6Gucf19aES906NqlcvHuIkXjc/&#10;W+JPmsrBqyheheew+zgD7DXFiAtk2APPFRn2wDD7ODOtNsNumm058wVqxkOG/axAk1Z6AJoKNHk4&#10;o6NvAL4OaE+lby1Ha8HT0TeObaRv7bk7rE0/mr791qNvAFBB3wK3f7rDs4Gc8oTGQN/Of6bsVdI3&#10;eUJC0XZZ476AW7HMJivg7rmVgBiNW3GFp/sKfeOUn5/xEAds+DFFHiIt48Zn0vgPXVusMzgSDIf8&#10;NNPzPAxeoUcMSZBZt6eb8OyOWlna4XuEhOF83kQ/O7TwDAWoR4YuPe7fnQKShGAw6apJB9MruJOi&#10;5GiGdyJlOjk1Im9N+oGIHLzIEyNyPCMJGo9Hw7guNlG54weQAeCBDnHRdXdHHDg+0Kzbhv+AZb9J&#10;8i4ot4/DBZDX4UXl9ofxIm0fz2w9O4I/8TTqEM6LjyxO+njg8KF2R54vUKAiS8TgD57IfriCdnjY&#10;TV7t5LXQtMlxHkhe7UClS2XhVZ8VOcQHnQb4eIaLC+rg4wBNQvhYPnkgfBngc7Ej+tKkvKZsmDw2&#10;oMBH1qOkWj/T05yOEdODb6zgD4z6gXxvYAUQFnDP4sK5cIh0OmhYXhMw2Dz85+nFo6fBd6BhdZ5F&#10;vKSSK7mzg7OQH6RImbwmbZe1e0XbZfruNG0/RacVUmQaVpP+JWDgd3W3CR4sFwF4XHGHWkX7leZB&#10;AnH4A6oz6ytsP34aiQam+YyTf3up3sO1+rHp1X8AAAD//wMAUEsDBBQABgAIAAAAIQCeRcMO3QAA&#10;AAUBAAAPAAAAZHJzL2Rvd25yZXYueG1sTI9BS8NAEIXvgv9hGcGb3URtbWM2pRT1VARbQXqbJtMk&#10;NDsbstsk/feOXvTy4PGG975Jl6NtVE+drx0biCcRKOLcFTWXBj53r3dzUD4gF9g4JgMX8rDMrq9S&#10;TAo38Af121AqKWGfoIEqhDbR2ucVWfQT1xJLdnSdxSC2K3XR4SDlttH3UTTTFmuWhQpbWleUn7Zn&#10;a+BtwGH1EL/0m9Nxfdnvpu9fm5iMub0ZV8+gAo3h7xh+8AUdMmE6uDMXXjUG5JHwq5Itpk9iDwZm&#10;8eMCdJbq//TZNwAAAP//AwBQSwECLQAUAAYACAAAACEAtoM4kv4AAADhAQAAEwAAAAAAAAAAAAAA&#10;AAAAAAAAW0NvbnRlbnRfVHlwZXNdLnhtbFBLAQItABQABgAIAAAAIQA4/SH/1gAAAJQBAAALAAAA&#10;AAAAAAAAAAAAAC8BAABfcmVscy8ucmVsc1BLAQItABQABgAIAAAAIQCaExd8zwcAALQ6AAAOAAAA&#10;AAAAAAAAAAAAAC4CAABkcnMvZTJvRG9jLnhtbFBLAQItABQABgAIAAAAIQCeRcMO3QAAAAUBAAAP&#10;AAAAAAAAAAAAAAAAACkKAABkcnMvZG93bnJldi54bWxQSwUGAAAAAAQABADzAAAAMwsAAAAA&#10;">
                <o:lock v:ext="edit" aspectratio="t"/>
                <v:rect id="AutoShape 28" o:spid="_x0000_s1028" style="position:absolute;left:1440;top:4848;width:9966;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rect id="Rectangle 29" o:spid="_x0000_s1029" style="position:absolute;left:1635;top:9768;width:376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4MMA&#10;AADbAAAADwAAAGRycy9kb3ducmV2LnhtbESPT2sCMRTE7wW/Q3iCt5pVoZTVKP5B6lW7lB4fm7fJ&#10;4uZl3aS69tM3BcHjMDO/YRar3jXiSl2oPSuYjDMQxKXXNRsFxef+9R1EiMgaG8+k4E4BVsvBywJz&#10;7W98pOspGpEgHHJUYGNscylDaclhGPuWOHmV7xzGJDsjdYe3BHeNnGbZm3RYc1qw2NLWUnk+/TgF&#10;7Wa9Ky6/x+pcfenm2+yt+SisUqNhv56DiNTHZ/jRPmgFsy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4MMAAADbAAAADwAAAAAAAAAAAAAAAACYAgAAZHJzL2Rv&#10;d25yZXYueG1sUEsFBgAAAAAEAAQA9QAAAIgDAAAAAA==&#10;" fillcolor="#ff9">
                  <v:shadow on="t" opacity=".5" offset="6pt,6pt"/>
                  <v:textbox>
                    <w:txbxContent>
                      <w:p w14:paraId="7CFD2F5B" w:rsidR="003B23A1" w:rsidRPr="00881434" w:rsidRDefault="003B23A1" w:rsidP="00B34716">
                        <w:pPr>
                          <w:jc w:val="center"/>
                          <w:rPr>
                            <w:b/>
                            <w:sz w:val="18"/>
                            <w:szCs w:val="18"/>
                          </w:rPr>
                        </w:pPr>
                        <w:r w:rsidRPr="00881434">
                          <w:rPr>
                            <w:b/>
                            <w:sz w:val="20"/>
                            <w:szCs w:val="20"/>
                          </w:rPr>
                          <w:t>Partners - Government</w:t>
                        </w:r>
                      </w:p>
                      <w:p w14:paraId="39B4677F" w:rsidR="003B23A1" w:rsidRPr="00881434" w:rsidRDefault="003B23A1" w:rsidP="00B34716">
                        <w:pPr>
                          <w:jc w:val="center"/>
                          <w:rPr>
                            <w:sz w:val="20"/>
                            <w:szCs w:val="20"/>
                          </w:rPr>
                        </w:pPr>
                        <w:r>
                          <w:rPr>
                            <w:sz w:val="20"/>
                            <w:szCs w:val="20"/>
                          </w:rPr>
                          <w:t>FNPD, LUD, AED, A/VD, MNIB, FD, MoT, NAWASA</w:t>
                        </w:r>
                      </w:p>
                      <w:p w14:paraId="21C8C3C3" w:rsidR="003B23A1" w:rsidRPr="00C62DC7" w:rsidRDefault="003B23A1" w:rsidP="00B34716">
                        <w:pPr>
                          <w:jc w:val="center"/>
                          <w:rPr>
                            <w:sz w:val="20"/>
                            <w:szCs w:val="20"/>
                          </w:rPr>
                        </w:pPr>
                      </w:p>
                      <w:p w14:paraId="08E2C1E6" w:rsidR="003B23A1" w:rsidRDefault="003B23A1" w:rsidP="00B34716">
                        <w:pPr>
                          <w:jc w:val="center"/>
                          <w:rPr>
                            <w:sz w:val="18"/>
                            <w:szCs w:val="18"/>
                          </w:rPr>
                        </w:pPr>
                      </w:p>
                    </w:txbxContent>
                  </v:textbox>
                </v:rect>
                <v:rect id="Rectangle 30" o:spid="_x0000_s1030" style="position:absolute;left:8460;top:9805;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ve8IA&#10;AADbAAAADwAAAGRycy9kb3ducmV2LnhtbESPQWsCMRSE7wX/Q3iCt5pVQcpqFG0RvWqX0uNj8zZZ&#10;3Lysm6hrf30jFHocZuYbZrnuXSNu1IXas4LJOANBXHpds1FQfO5e30CEiKyx8UwKHhRgvRq8LDHX&#10;/s5Hup2iEQnCIUcFNsY2lzKUlhyGsW+Jk1f5zmFMsjNSd3hPcNfIaZbNpcOa04LFlt4tlefT1Slo&#10;t5uP4vJzrM7Vl26+zc6afWGVGg37zQJEpD7+h//aB61gNoPn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297wgAAANsAAAAPAAAAAAAAAAAAAAAAAJgCAABkcnMvZG93&#10;bnJldi54bWxQSwUGAAAAAAQABAD1AAAAhwMAAAAA&#10;" fillcolor="#ff9">
                  <v:shadow on="t" opacity=".5" offset="6pt,6pt"/>
                  <v:textbox>
                    <w:txbxContent>
                      <w:p w14:paraId="035D2713" w:rsidR="003B23A1" w:rsidRPr="00881434" w:rsidRDefault="003B23A1" w:rsidP="00B34716">
                        <w:pPr>
                          <w:jc w:val="center"/>
                          <w:rPr>
                            <w:b/>
                            <w:sz w:val="20"/>
                            <w:szCs w:val="20"/>
                          </w:rPr>
                        </w:pPr>
                        <w:r>
                          <w:rPr>
                            <w:b/>
                            <w:sz w:val="20"/>
                            <w:szCs w:val="20"/>
                          </w:rPr>
                          <w:t>P</w:t>
                        </w:r>
                        <w:r w:rsidRPr="00C62DC7">
                          <w:rPr>
                            <w:b/>
                            <w:sz w:val="20"/>
                            <w:szCs w:val="20"/>
                          </w:rPr>
                          <w:t>artner</w:t>
                        </w:r>
                        <w:r>
                          <w:rPr>
                            <w:b/>
                            <w:sz w:val="20"/>
                            <w:szCs w:val="20"/>
                          </w:rPr>
                          <w:t>s – NGOs</w:t>
                        </w:r>
                      </w:p>
                      <w:p w14:paraId="13F56243" w:rsidR="003B23A1" w:rsidRPr="00EB563F" w:rsidRDefault="003B23A1" w:rsidP="00B34716">
                        <w:pPr>
                          <w:jc w:val="center"/>
                          <w:rPr>
                            <w:sz w:val="20"/>
                            <w:szCs w:val="20"/>
                          </w:rPr>
                        </w:pPr>
                      </w:p>
                    </w:txbxContent>
                  </v:textbox>
                </v:rect>
                <v:rect id="Rectangle 33" o:spid="_x0000_s1031" style="position:absolute;left:5175;top:7923;width:2841;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J/8MA&#10;AADbAAAADwAAAGRycy9kb3ducmV2LnhtbESPwWrDMBBE74X+g9hCb42c1ITiRglpoDTQU518wGJt&#10;LGNr5UqK7eTro0Ihx2Fm3jCrzWQ7MZAPjWMF81kGgrhyuuFawfHw+fIGIkRkjZ1jUnChAJv148MK&#10;C+1G/qGhjLVIEA4FKjAx9oWUoTJkMcxcT5y8k/MWY5K+ltrjmOC2k4ssW0qLDacFgz3tDFVtebYK&#10;vg/NPO/QlL90bb+GvK397mNU6vlp2r6DiDTFe/i/vdcKXnP4+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VJ/8MAAADbAAAADwAAAAAAAAAAAAAAAACYAgAAZHJzL2Rv&#10;d25yZXYueG1sUEsFBgAAAAAEAAQA9QAAAIgDAAAAAA==&#10;" fillcolor="#fc9">
                  <v:shadow on="t" opacity=".5" offset="6pt,6pt"/>
                  <v:textbox>
                    <w:txbxContent>
                      <w:p w14:paraId="34C5F303" w:rsidR="003B23A1" w:rsidRPr="005B2C35" w:rsidRDefault="003B23A1" w:rsidP="00B34716">
                        <w:pPr>
                          <w:jc w:val="center"/>
                          <w:rPr>
                            <w:b/>
                            <w:sz w:val="20"/>
                            <w:szCs w:val="20"/>
                          </w:rPr>
                        </w:pPr>
                        <w:r>
                          <w:rPr>
                            <w:b/>
                            <w:sz w:val="20"/>
                            <w:szCs w:val="20"/>
                          </w:rPr>
                          <w:t xml:space="preserve">Project Coordination Unit </w:t>
                        </w:r>
                        <w:r>
                          <w:rPr>
                            <w:sz w:val="20"/>
                            <w:szCs w:val="20"/>
                          </w:rPr>
                          <w:t>(Project Coordinator and Administrative Assistant – within MoA)</w:t>
                        </w:r>
                      </w:p>
                      <w:p w14:paraId="6D6CCB1B" w:rsidR="003B23A1" w:rsidRPr="00C504EE" w:rsidRDefault="003B23A1" w:rsidP="00B34716">
                        <w:pPr>
                          <w:jc w:val="center"/>
                          <w:rPr>
                            <w:sz w:val="20"/>
                            <w:szCs w:val="20"/>
                          </w:rPr>
                        </w:pPr>
                      </w:p>
                      <w:p w14:paraId="7627F8A7" w:rsidR="003B23A1" w:rsidRPr="00EB563F" w:rsidRDefault="003B23A1" w:rsidP="00B34716">
                        <w:pPr>
                          <w:jc w:val="center"/>
                          <w:rPr>
                            <w:sz w:val="20"/>
                            <w:szCs w:val="20"/>
                          </w:rPr>
                        </w:pPr>
                      </w:p>
                    </w:txbxContent>
                  </v:textbox>
                </v:rect>
                <v:rect id="Rectangle 34" o:spid="_x0000_s1032" style="position:absolute;left:2406;top:5733;width:79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RFMQA&#10;AADbAAAADwAAAGRycy9kb3ducmV2LnhtbESPQWvCQBSE74L/YXmCF6mbKMYSXUUEpdCTVoTeHtln&#10;Nph9G7KrSf99t1DwOMzMN8x629taPKn1lWMF6TQBQVw4XXGp4PJ1eHsH4QOyxtoxKfghD9vNcLDG&#10;XLuOT/Q8h1JECPscFZgQmlxKXxiy6KeuIY7ezbUWQ5RtKXWLXYTbWs6SJJMWK44LBhvaGyru54dV&#10;cLz574zSzzTr5sfmYpbXyXJyVWo86ncrEIH68Ar/tz+0gvk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kRTEAAAA2wAAAA8AAAAAAAAAAAAAAAAAmAIAAGRycy9k&#10;b3ducmV2LnhtbFBLBQYAAAAABAAEAPUAAACJAwAAAAA=&#10;" fillcolor="#f90">
                  <v:shadow on="t" opacity=".5" offset="6pt,6pt"/>
                  <v:textbox>
                    <w:txbxContent>
                      <w:p w14:paraId="66AB0A9E" w:rsidR="003B23A1" w:rsidRDefault="003B23A1" w:rsidP="00B34716">
                        <w:pPr>
                          <w:jc w:val="center"/>
                          <w:rPr>
                            <w:b/>
                          </w:rPr>
                        </w:pPr>
                        <w:r>
                          <w:rPr>
                            <w:b/>
                          </w:rPr>
                          <w:t>Project Steering Committee</w:t>
                        </w:r>
                      </w:p>
                    </w:txbxContent>
                  </v:textbox>
                </v:rect>
                <v:rect id="Rectangle 35" o:spid="_x0000_s1033" style="position:absolute;left:2406;top:6093;width:293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euMMA&#10;AADbAAAADwAAAGRycy9kb3ducmV2LnhtbESPzWrDMBCE74G+g9hCb4kcF0JwLRtTGppemr8+wGJt&#10;bBFr5Vpq7L59VQjkOMzMN0xeTrYTVxq8caxguUhAENdOG24UfJ028zUIH5A1do5JwS95KIuHWY6Z&#10;diMf6HoMjYgQ9hkqaEPoMyl93ZJFv3A9cfTObrAYohwaqQccI9x2Mk2SlbRoOC602NNrS/Xl+GMV&#10;fH/gptq9u89xuzR7U+9TSW+pUk+PU/UCItAU7uFbe6sVPK/g/0v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euMMAAADbAAAADwAAAAAAAAAAAAAAAACYAgAAZHJzL2Rv&#10;d25yZXYueG1sUEsFBgAAAAAEAAQA9QAAAIgDAAAAAA==&#10;" fillcolor="#fc0">
                  <v:shadow on="t" opacity=".5" offset="6pt,6pt"/>
                  <v:textbox>
                    <w:txbxContent>
                      <w:p w14:paraId="111626D7" w:rsidR="003B23A1" w:rsidRPr="00C504EE" w:rsidRDefault="003B23A1" w:rsidP="00B34716">
                        <w:pPr>
                          <w:jc w:val="center"/>
                          <w:rPr>
                            <w:b/>
                            <w:bCs/>
                            <w:sz w:val="20"/>
                            <w:szCs w:val="20"/>
                          </w:rPr>
                        </w:pPr>
                        <w:r w:rsidRPr="00C504EE">
                          <w:rPr>
                            <w:b/>
                            <w:bCs/>
                            <w:sz w:val="20"/>
                            <w:szCs w:val="20"/>
                          </w:rPr>
                          <w:t xml:space="preserve">Senior Beneficiary: </w:t>
                        </w:r>
                      </w:p>
                      <w:p w14:paraId="3031AC8E" w:rsidR="003B23A1" w:rsidRPr="00095C53" w:rsidRDefault="003B23A1" w:rsidP="00B34716">
                        <w:pPr>
                          <w:jc w:val="center"/>
                          <w:rPr>
                            <w:sz w:val="18"/>
                            <w:szCs w:val="18"/>
                          </w:rPr>
                        </w:pPr>
                        <w:r>
                          <w:rPr>
                            <w:sz w:val="18"/>
                            <w:szCs w:val="18"/>
                          </w:rPr>
                          <w:t>To be determined at Project Inception</w:t>
                        </w:r>
                        <w:r w:rsidRPr="00095C53">
                          <w:rPr>
                            <w:sz w:val="18"/>
                            <w:szCs w:val="18"/>
                          </w:rPr>
                          <w:t xml:space="preserve"> </w:t>
                        </w:r>
                        <w:r w:rsidRPr="00095C53">
                          <w:rPr>
                            <w:b/>
                            <w:bCs/>
                            <w:sz w:val="18"/>
                            <w:szCs w:val="18"/>
                          </w:rPr>
                          <w:t xml:space="preserve"> </w:t>
                        </w:r>
                      </w:p>
                    </w:txbxContent>
                  </v:textbox>
                </v:rect>
                <v:rect id="Rectangle 36" o:spid="_x0000_s1034" style="position:absolute;left:5340;top:6093;width:252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7I8MA&#10;AADbAAAADwAAAGRycy9kb3ducmV2LnhtbESP0WrCQBRE34X+w3ILfdONKViJriJFqb5YG/2AS/aa&#10;LGbvptnVpH/vCkIfh5k5w8yXva3FjVpvHCsYjxIQxIXThksFp+NmOAXhA7LG2jEp+CMPy8XLYI6Z&#10;dh3/0C0PpYgQ9hkqqEJoMil9UZFFP3INcfTOrrUYomxLqVvsItzWMk2SibRoOC5U2NBnRcUlv1oF&#10;vzvcrL6/3L7bjs3BFIdU0jpV6u21X81ABOrDf/jZ3moF7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87I8MAAADbAAAADwAAAAAAAAAAAAAAAACYAgAAZHJzL2Rv&#10;d25yZXYueG1sUEsFBgAAAAAEAAQA9QAAAIgDAAAAAA==&#10;" fillcolor="#fc0">
                  <v:shadow on="t" opacity=".5" offset="6pt,6pt"/>
                  <v:textbox>
                    <w:txbxContent>
                      <w:p w14:paraId="43052AD6" w:rsidR="003B23A1" w:rsidRPr="00EB563F" w:rsidRDefault="003B23A1" w:rsidP="00B34716">
                        <w:pPr>
                          <w:jc w:val="center"/>
                          <w:rPr>
                            <w:b/>
                            <w:sz w:val="20"/>
                            <w:szCs w:val="20"/>
                          </w:rPr>
                        </w:pPr>
                        <w:r>
                          <w:rPr>
                            <w:b/>
                            <w:sz w:val="20"/>
                            <w:szCs w:val="20"/>
                          </w:rPr>
                          <w:t xml:space="preserve">Executive: </w:t>
                        </w:r>
                        <w:r>
                          <w:rPr>
                            <w:sz w:val="20"/>
                            <w:szCs w:val="20"/>
                          </w:rPr>
                          <w:t xml:space="preserve">GEF </w:t>
                        </w:r>
                        <w:r w:rsidRPr="00FE70BF">
                          <w:rPr>
                            <w:sz w:val="20"/>
                            <w:szCs w:val="20"/>
                          </w:rPr>
                          <w:t>Operational Focal Point (</w:t>
                        </w:r>
                        <w:r w:rsidRPr="00E35162">
                          <w:rPr>
                            <w:sz w:val="20"/>
                            <w:szCs w:val="20"/>
                          </w:rPr>
                          <w:t>Ministry of Agriculture, Lands,</w:t>
                        </w:r>
                        <w:r>
                          <w:rPr>
                            <w:rFonts w:ascii="Times New Roman" w:hAnsi="Times New Roman" w:cs="Times New Roman"/>
                            <w:lang w:val="en-GB"/>
                          </w:rPr>
                          <w:t xml:space="preserve"> Forestry, Fisheries</w:t>
                        </w:r>
                        <w:r w:rsidRPr="003039E6">
                          <w:rPr>
                            <w:rFonts w:ascii="Times New Roman" w:hAnsi="Times New Roman" w:cs="Times New Roman"/>
                            <w:lang w:val="en-GB"/>
                          </w:rPr>
                          <w:t xml:space="preserve"> and the Environment</w:t>
                        </w:r>
                        <w:r w:rsidRPr="00FE70BF">
                          <w:rPr>
                            <w:sz w:val="20"/>
                            <w:szCs w:val="20"/>
                          </w:rPr>
                          <w:t>)</w:t>
                        </w:r>
                        <w:r>
                          <w:rPr>
                            <w:b/>
                            <w:sz w:val="18"/>
                            <w:szCs w:val="18"/>
                          </w:rPr>
                          <w:t xml:space="preserve"> </w:t>
                        </w:r>
                      </w:p>
                    </w:txbxContent>
                  </v:textbox>
                </v:rect>
                <v:rect id="Rectangle 37" o:spid="_x0000_s1035" style="position:absolute;left:7860;top:6093;width:252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vUb8A&#10;AADbAAAADwAAAGRycy9kb3ducmV2LnhtbERPzYrCMBC+C75DGMGbplaQpWsUEUW9uFr3AYZmtg3b&#10;TGoTbX17c1jY48f3v1z3thZPar1xrGA2TUAQF04bLhV83/aTDxA+IGusHZOCF3lYr4aDJWbadXyl&#10;Zx5KEUPYZ6igCqHJpPRFRRb91DXEkftxrcUQYVtK3WIXw20t0yRZSIuGY0OFDW0rKn7zh1VwP+F+&#10;83Vw5+44MxdTXFJJu1Sp8ajffIII1Id/8Z/7qBXM49j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0K9RvwAAANsAAAAPAAAAAAAAAAAAAAAAAJgCAABkcnMvZG93bnJl&#10;di54bWxQSwUGAAAAAAQABAD1AAAAhAMAAAAA&#10;" fillcolor="#fc0">
                  <v:shadow on="t" opacity=".5" offset="6pt,6pt"/>
                  <v:textbox>
                    <w:txbxContent>
                      <w:p w14:paraId="5B4BE3F0" w:rsidR="003B23A1" w:rsidRPr="00C504EE" w:rsidRDefault="003B23A1" w:rsidP="00B34716">
                        <w:pPr>
                          <w:jc w:val="center"/>
                          <w:rPr>
                            <w:b/>
                            <w:bCs/>
                            <w:sz w:val="20"/>
                            <w:szCs w:val="20"/>
                          </w:rPr>
                        </w:pPr>
                        <w:r w:rsidRPr="00C504EE">
                          <w:rPr>
                            <w:b/>
                            <w:bCs/>
                            <w:sz w:val="20"/>
                            <w:szCs w:val="20"/>
                          </w:rPr>
                          <w:t>Senior Supplier:</w:t>
                        </w:r>
                      </w:p>
                      <w:p w14:paraId="458CDF43" w:rsidR="003B23A1" w:rsidRPr="00FE70BF" w:rsidRDefault="003B23A1" w:rsidP="00B34716">
                        <w:pPr>
                          <w:jc w:val="center"/>
                          <w:rPr>
                            <w:sz w:val="18"/>
                            <w:szCs w:val="18"/>
                            <w:lang w:val="en-GB"/>
                          </w:rPr>
                        </w:pPr>
                        <w:r w:rsidRPr="00FE70BF">
                          <w:rPr>
                            <w:sz w:val="18"/>
                            <w:szCs w:val="18"/>
                          </w:rPr>
                          <w:t>UNDP</w:t>
                        </w:r>
                      </w:p>
                    </w:txbxContent>
                  </v:textbox>
                </v:rect>
                <v:shapetype id="_x0000_t32" coordsize="21600,21600" o:spt="32" o:oned="t" path="m,l21600,21600e" filled="f">
                  <v:path arrowok="t" fillok="f" o:connecttype="none"/>
                  <o:lock v:ext="edit" shapetype="t"/>
                </v:shapetype>
                <v:shape id="AutoShape 38" o:spid="_x0000_s1036" type="#_x0000_t32" style="position:absolute;left:6596;top:7215;width:4;height: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rect id="Rectangle 39" o:spid="_x0000_s1037" style="position:absolute;left:2550;top:7683;width:2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QKr8A&#10;AADbAAAADwAAAGRycy9kb3ducmV2LnhtbERPzYrCMBC+C75DGMGbphaRpWsUEUW9uFr3AYZmtg3b&#10;TGoTbX17c1jY48f3v1z3thZPar1xrGA2TUAQF04bLhV83/aTDxA+IGusHZOCF3lYr4aDJWbadXyl&#10;Zx5KEUPYZ6igCqHJpPRFRRb91DXEkftxrcUQYVtK3WIXw20t0yRZSIuGY0OFDW0rKn7zh1VwP+F+&#10;83Vw5+44MxdTXFJJu1Sp8ajffIII1Id/8Z/7qBXM4/r4Jf4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NAqvwAAANsAAAAPAAAAAAAAAAAAAAAAAJgCAABkcnMvZG93bnJl&#10;di54bWxQSwUGAAAAAAQABAD1AAAAhAMAAAAA&#10;" fillcolor="#fc0">
                  <v:shadow on="t" opacity=".5" offset="6pt,6pt"/>
                  <v:textbox>
                    <w:txbxContent>
                      <w:p w14:paraId="7FAEAF1E" w:rsidR="003B23A1" w:rsidRPr="00C504EE" w:rsidRDefault="003B23A1" w:rsidP="00B34716">
                        <w:pPr>
                          <w:jc w:val="center"/>
                          <w:rPr>
                            <w:b/>
                            <w:sz w:val="20"/>
                            <w:szCs w:val="20"/>
                          </w:rPr>
                        </w:pPr>
                        <w:r w:rsidRPr="00C504EE">
                          <w:rPr>
                            <w:b/>
                            <w:sz w:val="20"/>
                            <w:szCs w:val="20"/>
                          </w:rPr>
                          <w:t>Project Assurance</w:t>
                        </w:r>
                      </w:p>
                      <w:p w14:paraId="39F0250C" w:rsidR="003B23A1" w:rsidRPr="00C504EE" w:rsidRDefault="003B23A1" w:rsidP="00B34716">
                        <w:pPr>
                          <w:pStyle w:val="BodyText3"/>
                          <w:jc w:val="center"/>
                          <w:rPr>
                            <w:bCs/>
                          </w:rPr>
                        </w:pPr>
                        <w:r w:rsidRPr="00C504EE">
                          <w:rPr>
                            <w:bCs/>
                          </w:rPr>
                          <w:t>UNDP</w:t>
                        </w:r>
                      </w:p>
                    </w:txbxContent>
                  </v:textbox>
                </v:rect>
                <v:rect id="Rectangle 40" o:spid="_x0000_s1038" style="position:absolute;left:8655;top:8013;width:2121;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GsIA&#10;AADbAAAADwAAAGRycy9kb3ducmV2LnhtbESPwWrDMBBE74X+g9hCbo3sYkJwooQmUFroqU4+YLG2&#10;lrG1ciTVdvP1VSGQ4zAzb5jtfra9GMmH1rGCfJmBIK6dbrlRcD69Pa9BhIissXdMCn4pwH73+LDF&#10;UruJv2isYiMShEOJCkyMQyllqA1ZDEs3ECfv23mLMUnfSO1xSnDby5csW0mLLacFgwMdDdVd9WMV&#10;fJ7avOjRVBe6du9j0TX+eJiUWjzNrxsQkeZ4D9/aH1pBkcP/l/Q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JkawgAAANsAAAAPAAAAAAAAAAAAAAAAAJgCAABkcnMvZG93&#10;bnJldi54bWxQSwUGAAAAAAQABAD1AAAAhwMAAAAA&#10;" fillcolor="#fc9">
                  <v:shadow on="t" opacity=".5" offset="6pt,6pt"/>
                  <v:textbox>
                    <w:txbxContent>
                      <w:p w14:paraId="45625F3D" w:rsidR="003B23A1" w:rsidRDefault="003B23A1" w:rsidP="00B34716">
                        <w:pPr>
                          <w:jc w:val="center"/>
                          <w:rPr>
                            <w:sz w:val="20"/>
                            <w:szCs w:val="20"/>
                          </w:rPr>
                        </w:pPr>
                        <w:r>
                          <w:rPr>
                            <w:b/>
                            <w:sz w:val="20"/>
                            <w:szCs w:val="20"/>
                          </w:rPr>
                          <w:t>Administrative &amp; Financial Support</w:t>
                        </w:r>
                      </w:p>
                      <w:p w14:paraId="047975DC" w:rsidR="003B23A1" w:rsidRPr="00C62DC7" w:rsidRDefault="003B23A1" w:rsidP="00B34716">
                        <w:pPr>
                          <w:jc w:val="center"/>
                          <w:rPr>
                            <w:sz w:val="20"/>
                            <w:szCs w:val="20"/>
                          </w:rPr>
                        </w:pPr>
                        <w:r>
                          <w:rPr>
                            <w:sz w:val="20"/>
                            <w:szCs w:val="20"/>
                          </w:rPr>
                          <w:t>MoA</w:t>
                        </w:r>
                      </w:p>
                      <w:p w14:paraId="2C0AAEEC" w:rsidR="003B23A1" w:rsidRDefault="003B23A1" w:rsidP="00B34716">
                        <w:pPr>
                          <w:spacing w:before="120"/>
                          <w:jc w:val="center"/>
                          <w:rPr>
                            <w:sz w:val="18"/>
                            <w:szCs w:val="18"/>
                          </w:rPr>
                        </w:pPr>
                      </w:p>
                    </w:txbxContent>
                  </v:textbox>
                </v:rect>
                <v:shape id="AutoShape 41" o:spid="_x0000_s1039" type="#_x0000_t32" style="position:absolute;left:8016;top:8568;width:639;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roundrect id="AutoShape 42" o:spid="_x0000_s1040" style="position:absolute;left:2160;top:5013;width:8901;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YfsQA&#10;AADbAAAADwAAAGRycy9kb3ducmV2LnhtbESPW2vCQBSE3wX/w3IE33TTeCGkrqKBlvZJvEDx7ZA9&#10;TYLZsyG71e2/7xYEH4eZ+YZZbYJpxY1611hW8DJNQBCXVjdcKTif3iYZCOeRNbaWScEvOdish4MV&#10;5tre+UC3o69EhLDLUUHtfZdL6cqaDLqp7Yij9217gz7KvpK6x3uEm1amSbKUBhuOCzV2VNRUXo8/&#10;RoG8ZMXnYn5Jv8Key/dU7q5ZEZQaj8L2FYSn4J/hR/tDK5jP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H7EAAAA2wAAAA8AAAAAAAAAAAAAAAAAmAIAAGRycy9k&#10;b3ducmV2LnhtbFBLBQYAAAAABAAEAPUAAACJAwAAAAA=&#10;" fillcolor="#9cf">
                  <v:textbox>
                    <w:txbxContent>
                      <w:p w14:paraId="5E72CED2" w:rsidR="003B23A1" w:rsidRPr="001D0B24" w:rsidRDefault="003B23A1" w:rsidP="00B34716">
                        <w:pPr>
                          <w:jc w:val="center"/>
                          <w:rPr>
                            <w:b/>
                          </w:rPr>
                        </w:pPr>
                        <w:r w:rsidRPr="001D0B24">
                          <w:rPr>
                            <w:b/>
                          </w:rPr>
                          <w:t>Project Organization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41" type="#_x0000_t34" style="position:absolute;left:4787;top:7959;width:540;height:30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Q8UAAADbAAAADwAAAGRycy9kb3ducmV2LnhtbESPT2vCQBDF70K/wzKF3sxGUQnRVaRQ&#10;6R8v2l56m2THbDA7G7Jbk3z7bkHo8fHm/d68zW6wjbhR52vHCmZJCoK4dLrmSsHX58s0A+EDssbG&#10;MSkYycNu+zDZYK5dzye6nUMlIoR9jgpMCG0upS8NWfSJa4mjd3GdxRBlV0ndYR/htpHzNF1JizXH&#10;BoMtPRsqr+cfG994O80/DpiNh2z5bfar9+JYLQulnh6H/RpEoCH8H9/Tr1rBYgF/WyIA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m/Q8UAAADbAAAADwAAAAAAAAAA&#10;AAAAAAChAgAAZHJzL2Rvd25yZXYueG1sUEsFBgAAAAAEAAQA+QAAAJMDAAAAAA==&#10;"/>
                <v:shape id="AutoShape 44" o:spid="_x0000_s1042" type="#_x0000_t34" style="position:absolute;left:4971;top:6054;width:468;height:279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3PK8MAAADbAAAADwAAAGRycy9kb3ducmV2LnhtbESPQWvCQBSE7wX/w/IEb83GUkOIrqKl&#10;FS89mKrnR/aZRLNvQ3Yb4793C0KPw8x8wyxWg2lET52rLSuYRjEI4sLqmksFh5+v1xSE88gaG8uk&#10;4E4OVsvRywIzbW+8pz73pQgQdhkqqLxvMyldUZFBF9mWOHhn2xn0QXal1B3eAtw08i2OE2mw5rBQ&#10;YUsfFRXX/Nco6PNLfZya8+b7nqTcp5+z7SlplZqMh/UchKfB/4ef7Z1W8D6Dv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zyvDAAAA2wAAAA8AAAAAAAAAAAAA&#10;AAAAoQIAAGRycy9kb3ducmV2LnhtbFBLBQYAAAAABAAEAPkAAACRAwAAAAA=&#10;"/>
                <v:shapetype id="_x0000_t33" coordsize="21600,21600" o:spt="33" o:oned="t" path="m,l21600,r,21600e" filled="f">
                  <v:stroke joinstyle="miter"/>
                  <v:path arrowok="t" fillok="f" o:connecttype="none"/>
                  <o:lock v:ext="edit" shapetype="t"/>
                </v:shapetype>
                <v:shape id="AutoShape 46" o:spid="_x0000_s1043" type="#_x0000_t33" style="position:absolute;left:8289;top:7535;width:269;height:365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1eMMAAADbAAAADwAAAGRycy9kb3ducmV2LnhtbESPQWsCMRSE7wX/Q3iCl6LZtUV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udXjDAAAA2wAAAA8AAAAAAAAAAAAA&#10;AAAAoQIAAGRycy9kb3ducmV2LnhtbFBLBQYAAAAABAAEAPkAAACRAwAAAAA=&#10;"/>
                <v:shape id="AutoShape 48" o:spid="_x0000_s1044" type="#_x0000_t32" style="position:absolute;left:10250;top:9497;width:1;height: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w10:anchorlock/>
              </v:group>
            </w:pict>
          </mc:Fallback>
        </mc:AlternateContent>
      </w:r>
    </w:p>
    <w:p w14:paraId="745368A4" w:rsidR="00B34716" w:rsidRDefault="00B34716" w:rsidP="00B34716">
      <w:pPr>
        <w:tabs>
          <w:tab w:val="left" w:pos="720"/>
        </w:tabs>
        <w:outlineLvl w:val="0"/>
        <w:rPr>
          <w:rFonts w:ascii="Times New Roman" w:hAnsi="Times New Roman" w:cs="Times New Roman"/>
          <w:color w:val="000000"/>
          <w:lang w:val="en-GB"/>
        </w:rPr>
      </w:pPr>
    </w:p>
    <w:p w14:paraId="5473451C" w:rsidR="002921A5" w:rsidRPr="00B34716" w:rsidRDefault="002921A5" w:rsidP="00B34716">
      <w:pPr>
        <w:tabs>
          <w:tab w:val="left" w:pos="720"/>
        </w:tabs>
        <w:outlineLvl w:val="0"/>
        <w:rPr>
          <w:rFonts w:ascii="Times New Roman" w:hAnsi="Times New Roman" w:cs="Times New Roman"/>
          <w:bCs/>
          <w:lang w:val="en-GB"/>
        </w:rPr>
      </w:pPr>
    </w:p>
    <w:p w14:paraId="2FE16A72" w:rsidR="00B34716" w:rsidRPr="00B34716" w:rsidRDefault="00B34716" w:rsidP="00B34716">
      <w:pPr>
        <w:tabs>
          <w:tab w:val="left" w:pos="720"/>
        </w:tabs>
        <w:outlineLvl w:val="0"/>
        <w:rPr>
          <w:rFonts w:ascii="Times New Roman" w:hAnsi="Times New Roman" w:cs="Times New Roman"/>
          <w:bCs/>
          <w:lang w:val="en-GB"/>
        </w:rPr>
      </w:pPr>
      <w:r w:rsidRPr="00B34716">
        <w:rPr>
          <w:rFonts w:ascii="Times New Roman" w:hAnsi="Times New Roman" w:cs="Times New Roman"/>
          <w:bCs/>
          <w:lang w:val="en-GB"/>
        </w:rPr>
        <w:t>Responsible Party</w:t>
      </w:r>
    </w:p>
    <w:p w14:paraId="3496173B"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bCs/>
          <w:lang w:val="en-GB"/>
        </w:rPr>
        <w:t xml:space="preserve">The project will be implemented under the NIM modality where the Implementing </w:t>
      </w:r>
      <w:r w:rsidRPr="00E35162">
        <w:rPr>
          <w:rFonts w:ascii="Times New Roman" w:hAnsi="Times New Roman" w:cs="Times New Roman"/>
          <w:bCs/>
          <w:lang w:val="en-GB"/>
        </w:rPr>
        <w:t>Partner is Mo</w:t>
      </w:r>
      <w:r w:rsidR="00E35162" w:rsidRPr="00E35162">
        <w:rPr>
          <w:rFonts w:ascii="Times New Roman" w:hAnsi="Times New Roman" w:cs="Times New Roman"/>
          <w:bCs/>
          <w:lang w:val="en-GB"/>
        </w:rPr>
        <w:t>A</w:t>
      </w:r>
      <w:r w:rsidRPr="00E35162">
        <w:rPr>
          <w:rFonts w:ascii="Times New Roman" w:hAnsi="Times New Roman" w:cs="Times New Roman"/>
          <w:bCs/>
          <w:lang w:val="en-GB"/>
        </w:rPr>
        <w:t>, following the standards and regulations of the United Nations Development Programme (UNDP), the</w:t>
      </w:r>
      <w:r w:rsidRPr="00B34716">
        <w:rPr>
          <w:rFonts w:ascii="Times New Roman" w:hAnsi="Times New Roman" w:cs="Times New Roman"/>
          <w:bCs/>
          <w:lang w:val="en-GB"/>
        </w:rPr>
        <w:t xml:space="preserve"> implementing agency of this project.  The Implementing Partner is the entity responsible for the project outcomes, and who is accountable for its management, including monitoring and evaluation activities, the achievement of outputs and effective use of resources. A single Implementing Partner is designated to lead each project. This Partner may establish agreements with other organizations or entities in order to support the achievement of the outputs envisaged in the project, this/these other/s instance/s is/are called: Responsible Party (ies).  The Responsible Party is designated by the Implementing Partner to support the implementation, planning and / or monitoring of certain activities / components within the project´s framework, using their technical skills and management services to support the achievement of project objectives.  Project partners will assume responsibility for the different outcomes and outputs expected from the project, carrying out activities related to their actual capabilities in the field, ensuring effectiveness and efficiency of GEF funding.  An Implementation Agreement will be signed between the Implementing Partner and the Responsible Party during the project inception phase.</w:t>
      </w:r>
    </w:p>
    <w:p w14:paraId="58D17442" w:rsidR="00B34716" w:rsidRPr="00B34716" w:rsidRDefault="00B34716" w:rsidP="00B34716">
      <w:pPr>
        <w:tabs>
          <w:tab w:val="left" w:pos="540"/>
        </w:tabs>
        <w:jc w:val="both"/>
        <w:outlineLvl w:val="0"/>
        <w:rPr>
          <w:rFonts w:ascii="Times New Roman" w:hAnsi="Times New Roman" w:cs="Times New Roman"/>
          <w:bCs/>
          <w:color w:val="FF0000"/>
          <w:lang w:val="en-GB"/>
        </w:rPr>
      </w:pPr>
    </w:p>
    <w:p w14:paraId="5B671B6B" w:rsidR="00B34716" w:rsidRPr="002921A5" w:rsidRDefault="00B34716" w:rsidP="00B34716">
      <w:pPr>
        <w:tabs>
          <w:tab w:val="left" w:pos="540"/>
        </w:tabs>
        <w:jc w:val="both"/>
        <w:outlineLvl w:val="0"/>
        <w:rPr>
          <w:rFonts w:ascii="Times New Roman" w:hAnsi="Times New Roman" w:cs="Times New Roman"/>
          <w:bCs/>
          <w:lang w:val="en-GB"/>
        </w:rPr>
      </w:pPr>
      <w:r w:rsidRPr="00B34716">
        <w:rPr>
          <w:rFonts w:ascii="Times New Roman" w:hAnsi="Times New Roman" w:cs="Times New Roman"/>
          <w:bCs/>
          <w:lang w:val="en-GB"/>
        </w:rPr>
        <w:t>Financial and other procedures</w:t>
      </w:r>
    </w:p>
    <w:p w14:paraId="40ECA0D3"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lang w:val="en-GB"/>
        </w:rPr>
        <w:t xml:space="preserve">The financial arrangements and procedures for the project are governed by the UNDP rules and regulations for National Implementation (NIM). Financial transactions will be based on direct requests to UNDP from the National Project Director and/ or Project Coordinator for specific activities (included in work plans and financial reports) and for advances for petty cash where necessary and considering the difficulties of implementation in many remote areas. The arrangements for financial reporting, requests for </w:t>
      </w:r>
      <w:r w:rsidRPr="00E35162">
        <w:rPr>
          <w:rFonts w:ascii="Times New Roman" w:hAnsi="Times New Roman" w:cs="Times New Roman"/>
          <w:lang w:val="en-GB"/>
        </w:rPr>
        <w:t xml:space="preserve">transfer of funds, and the advance and disbursement of funds will, in turn, be detailed in MOUs between </w:t>
      </w:r>
      <w:r w:rsidR="00E35162" w:rsidRPr="00E35162">
        <w:rPr>
          <w:rFonts w:ascii="Times New Roman" w:hAnsi="Times New Roman" w:cs="Times New Roman"/>
          <w:lang w:val="en-GB"/>
        </w:rPr>
        <w:t>MoA</w:t>
      </w:r>
      <w:r w:rsidRPr="00B34716">
        <w:rPr>
          <w:rFonts w:ascii="Times New Roman" w:hAnsi="Times New Roman" w:cs="Times New Roman"/>
          <w:lang w:val="en-GB"/>
        </w:rPr>
        <w:t xml:space="preserve"> and its implementing partners.  All procurement and financial transactions will be governed by national rules and regulations, and must be compatible with the UNDP rules and regulations.</w:t>
      </w:r>
    </w:p>
    <w:p w14:paraId="7803DC64" w:rsidR="00B34716" w:rsidRPr="00B34716" w:rsidRDefault="00B34716" w:rsidP="00B34716">
      <w:pPr>
        <w:tabs>
          <w:tab w:val="left" w:pos="540"/>
        </w:tabs>
        <w:jc w:val="both"/>
        <w:outlineLvl w:val="0"/>
        <w:rPr>
          <w:rFonts w:ascii="Times New Roman" w:hAnsi="Times New Roman" w:cs="Times New Roman"/>
          <w:bCs/>
          <w:lang w:val="en-GB"/>
        </w:rPr>
      </w:pPr>
    </w:p>
    <w:p w14:paraId="46965F14" w:rsidR="00B34716" w:rsidRPr="00B34716" w:rsidRDefault="00B34716" w:rsidP="00B34716">
      <w:pPr>
        <w:numPr>
          <w:ilvl w:val="0"/>
          <w:numId w:val="82"/>
        </w:numPr>
        <w:tabs>
          <w:tab w:val="left" w:pos="540"/>
        </w:tabs>
        <w:spacing w:after="0" w:line="240" w:lineRule="auto"/>
        <w:ind w:left="0" w:firstLine="0"/>
        <w:jc w:val="both"/>
        <w:outlineLvl w:val="0"/>
        <w:rPr>
          <w:rStyle w:val="hps"/>
          <w:rFonts w:ascii="Times New Roman" w:hAnsi="Times New Roman" w:cs="Times New Roman"/>
          <w:bCs/>
          <w:lang w:val="en-GB"/>
        </w:rPr>
      </w:pPr>
      <w:r w:rsidRPr="00B34716">
        <w:rPr>
          <w:rStyle w:val="hps"/>
          <w:rFonts w:ascii="Times New Roman" w:hAnsi="Times New Roman" w:cs="Times New Roman"/>
          <w:lang w:val="en-GB"/>
        </w:rPr>
        <w:t>Dollarization</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clause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value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of any contribution</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received by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United</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Nations Development Programme</w:t>
      </w:r>
      <w:r w:rsidRPr="00B34716">
        <w:rPr>
          <w:rFonts w:ascii="Times New Roman" w:hAnsi="Times New Roman" w:cs="Times New Roman"/>
          <w:lang w:val="en-GB"/>
        </w:rPr>
        <w:t xml:space="preserve"> as part </w:t>
      </w:r>
      <w:r w:rsidRPr="00B34716">
        <w:rPr>
          <w:rStyle w:val="hps"/>
          <w:rFonts w:ascii="Times New Roman" w:hAnsi="Times New Roman" w:cs="Times New Roman"/>
          <w:lang w:val="en-GB"/>
        </w:rPr>
        <w:t>of this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Agreement,</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and which is made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in</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 currency other than</w:t>
      </w:r>
      <w:r w:rsidRPr="00B34716">
        <w:rPr>
          <w:rFonts w:ascii="Times New Roman" w:hAnsi="Times New Roman" w:cs="Times New Roman"/>
          <w:lang w:val="en-GB"/>
        </w:rPr>
        <w:t xml:space="preserve"> the </w:t>
      </w:r>
      <w:r w:rsidRPr="00B34716">
        <w:rPr>
          <w:rStyle w:val="hps"/>
          <w:rFonts w:ascii="Times New Roman" w:hAnsi="Times New Roman" w:cs="Times New Roman"/>
          <w:lang w:val="en-GB"/>
        </w:rPr>
        <w:t>U.S.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Dollar</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determined by applying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operational rate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of</w:t>
      </w:r>
      <w:r w:rsidRPr="00B34716">
        <w:rPr>
          <w:rFonts w:ascii="Times New Roman" w:hAnsi="Times New Roman" w:cs="Times New Roman"/>
          <w:lang w:val="en-GB"/>
        </w:rPr>
        <w:t xml:space="preserve"> the </w:t>
      </w:r>
      <w:r w:rsidRPr="00B34716">
        <w:rPr>
          <w:rStyle w:val="hps"/>
          <w:rFonts w:ascii="Times New Roman" w:hAnsi="Times New Roman" w:cs="Times New Roman"/>
          <w:lang w:val="en-GB"/>
        </w:rPr>
        <w:t>United</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Nations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prevailing on the date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that such payment</w:t>
      </w:r>
      <w:r w:rsidRPr="00B34716">
        <w:rPr>
          <w:rFonts w:ascii="Times New Roman" w:hAnsi="Times New Roman" w:cs="Times New Roman"/>
          <w:lang w:val="en-GB"/>
        </w:rPr>
        <w:t xml:space="preserve"> is</w:t>
      </w:r>
      <w:r w:rsidRPr="00B34716">
        <w:rPr>
          <w:rStyle w:val="hps"/>
          <w:rFonts w:ascii="Times New Roman" w:hAnsi="Times New Roman" w:cs="Times New Roman"/>
          <w:lang w:val="en-GB"/>
        </w:rPr>
        <w:t xml:space="preserve"> made effective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If there is a</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change in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operational rate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of</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United Nations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before UNDP</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uses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entire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amount paid</w:t>
      </w:r>
      <w:r w:rsidRPr="00B34716">
        <w:rPr>
          <w:rFonts w:ascii="Times New Roman" w:hAnsi="Times New Roman" w:cs="Times New Roman"/>
          <w:lang w:val="en-GB"/>
        </w:rPr>
        <w:t xml:space="preserve">, the balance </w:t>
      </w:r>
      <w:r w:rsidRPr="00B34716">
        <w:rPr>
          <w:rStyle w:val="hps"/>
          <w:rFonts w:ascii="Times New Roman" w:hAnsi="Times New Roman" w:cs="Times New Roman"/>
          <w:lang w:val="en-GB"/>
        </w:rPr>
        <w:t>will be adjusted according</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 the value of</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currency</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at that date.”</w:t>
      </w:r>
    </w:p>
    <w:p w14:paraId="263D30FD" w:rsidR="00B34716" w:rsidRPr="00B34716" w:rsidRDefault="00B34716" w:rsidP="00B34716">
      <w:pPr>
        <w:tabs>
          <w:tab w:val="left" w:pos="540"/>
        </w:tabs>
        <w:jc w:val="both"/>
        <w:outlineLvl w:val="0"/>
        <w:rPr>
          <w:rStyle w:val="hps"/>
          <w:rFonts w:ascii="Times New Roman" w:hAnsi="Times New Roman" w:cs="Times New Roman"/>
          <w:lang w:val="en-GB"/>
        </w:rPr>
      </w:pPr>
    </w:p>
    <w:p w14:paraId="03B70455" w:rsidR="00B34716" w:rsidRPr="00B34716" w:rsidRDefault="00B34716" w:rsidP="00B34716">
      <w:pPr>
        <w:numPr>
          <w:ilvl w:val="0"/>
          <w:numId w:val="82"/>
        </w:numPr>
        <w:tabs>
          <w:tab w:val="left" w:pos="540"/>
        </w:tabs>
        <w:spacing w:after="0" w:line="240" w:lineRule="auto"/>
        <w:ind w:left="0" w:firstLine="0"/>
        <w:jc w:val="both"/>
        <w:outlineLvl w:val="0"/>
        <w:rPr>
          <w:rStyle w:val="hps"/>
          <w:rFonts w:ascii="Times New Roman" w:hAnsi="Times New Roman" w:cs="Times New Roman"/>
          <w:bCs/>
          <w:lang w:val="en-GB"/>
        </w:rPr>
      </w:pPr>
      <w:r w:rsidRPr="00B34716">
        <w:rPr>
          <w:rStyle w:val="hps"/>
          <w:rFonts w:ascii="Times New Roman" w:hAnsi="Times New Roman" w:cs="Times New Roman"/>
          <w:lang w:val="en-GB"/>
        </w:rPr>
        <w:t>If a loss is registered in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value of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fund balance</w:t>
      </w:r>
      <w:r w:rsidRPr="00B34716">
        <w:rPr>
          <w:rFonts w:ascii="Times New Roman" w:hAnsi="Times New Roman" w:cs="Times New Roman"/>
          <w:lang w:val="en-GB"/>
        </w:rPr>
        <w:t xml:space="preserve">, UNDP </w:t>
      </w:r>
      <w:r w:rsidRPr="00B34716">
        <w:rPr>
          <w:rStyle w:val="hps"/>
          <w:rFonts w:ascii="Times New Roman" w:hAnsi="Times New Roman" w:cs="Times New Roman"/>
          <w:lang w:val="en-GB"/>
        </w:rPr>
        <w:t>shall inform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Donor</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with a view to</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determining whether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donor</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has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 provide more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funding.</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Without</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having any such</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additional funding</w:t>
      </w:r>
      <w:r w:rsidRPr="00B34716">
        <w:rPr>
          <w:rFonts w:ascii="Times New Roman" w:hAnsi="Times New Roman" w:cs="Times New Roman"/>
          <w:lang w:val="en-GB"/>
        </w:rPr>
        <w:t xml:space="preserve">, UNDP </w:t>
      </w:r>
      <w:r w:rsidRPr="00B34716">
        <w:rPr>
          <w:rStyle w:val="hps"/>
          <w:rFonts w:ascii="Times New Roman" w:hAnsi="Times New Roman" w:cs="Times New Roman"/>
          <w:lang w:val="en-GB"/>
        </w:rPr>
        <w:t>may reduce,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suspend or</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terminate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assistance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 the program /</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project.</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In the case where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there is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an increase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in the value of</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this balance</w:t>
      </w:r>
      <w:r w:rsidRPr="00B34716">
        <w:rPr>
          <w:rFonts w:ascii="Times New Roman" w:hAnsi="Times New Roman" w:cs="Times New Roman"/>
          <w:lang w:val="en-GB"/>
        </w:rPr>
        <w:t xml:space="preserve">, this increase </w:t>
      </w:r>
      <w:r w:rsidRPr="00B34716">
        <w:rPr>
          <w:rStyle w:val="hps"/>
          <w:rFonts w:ascii="Times New Roman" w:hAnsi="Times New Roman" w:cs="Times New Roman"/>
          <w:lang w:val="en-GB"/>
        </w:rPr>
        <w:t>will go</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 the project to</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implement its activities,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in agreement with</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donor.</w:t>
      </w:r>
    </w:p>
    <w:p w14:paraId="629B35C3" w:rsidR="00B34716" w:rsidRPr="00B34716" w:rsidRDefault="00B34716" w:rsidP="00B34716">
      <w:pPr>
        <w:tabs>
          <w:tab w:val="left" w:pos="540"/>
        </w:tabs>
        <w:jc w:val="both"/>
        <w:outlineLvl w:val="0"/>
        <w:rPr>
          <w:rStyle w:val="hps"/>
          <w:rFonts w:ascii="Times New Roman" w:hAnsi="Times New Roman" w:cs="Times New Roman"/>
          <w:lang w:val="en-GB"/>
        </w:rPr>
      </w:pPr>
    </w:p>
    <w:p w14:paraId="4CDA5BA8"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Style w:val="hps"/>
          <w:rFonts w:ascii="Times New Roman" w:hAnsi="Times New Roman" w:cs="Times New Roman"/>
          <w:lang w:val="en-GB"/>
        </w:rPr>
        <w:t>All accounts and</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all financial statements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are expressed in</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U.S.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dollars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 exchange rate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used in each case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shall be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monthly exchange rate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set</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by the UN in the OECS.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Notwithstanding the foregoing</w:t>
      </w:r>
      <w:r w:rsidRPr="00B34716">
        <w:rPr>
          <w:rFonts w:ascii="Times New Roman" w:hAnsi="Times New Roman" w:cs="Times New Roman"/>
          <w:lang w:val="en-GB"/>
        </w:rPr>
        <w:t xml:space="preserve">, payments to </w:t>
      </w:r>
      <w:r w:rsidRPr="00B34716">
        <w:rPr>
          <w:rStyle w:val="hps"/>
          <w:rFonts w:ascii="Times New Roman" w:hAnsi="Times New Roman" w:cs="Times New Roman"/>
          <w:lang w:val="en-GB"/>
        </w:rPr>
        <w:t>suppliers are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made ​​in</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local currency.</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 xml:space="preserve"> In cases where 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total contributions</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exceed</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the</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total reference amount, a</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budgetary</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review</w:t>
      </w:r>
      <w:r w:rsidRPr="00B34716">
        <w:rPr>
          <w:rFonts w:ascii="Times New Roman" w:hAnsi="Times New Roman" w:cs="Times New Roman"/>
          <w:lang w:val="en-GB"/>
        </w:rPr>
        <w:t xml:space="preserve"> </w:t>
      </w:r>
      <w:r w:rsidRPr="00B34716">
        <w:rPr>
          <w:rStyle w:val="hps"/>
          <w:rFonts w:ascii="Times New Roman" w:hAnsi="Times New Roman" w:cs="Times New Roman"/>
          <w:lang w:val="en-GB"/>
        </w:rPr>
        <w:t>of the project will be carried out as</w:t>
      </w:r>
      <w:r w:rsidRPr="00B34716">
        <w:rPr>
          <w:rFonts w:ascii="Times New Roman" w:hAnsi="Times New Roman" w:cs="Times New Roman"/>
          <w:lang w:val="en-GB"/>
        </w:rPr>
        <w:t xml:space="preserve"> per </w:t>
      </w:r>
      <w:r w:rsidRPr="00B34716">
        <w:rPr>
          <w:rStyle w:val="hps"/>
          <w:rFonts w:ascii="Times New Roman" w:hAnsi="Times New Roman" w:cs="Times New Roman"/>
          <w:lang w:val="en-GB"/>
        </w:rPr>
        <w:t>UNDP requirements</w:t>
      </w:r>
      <w:r w:rsidRPr="00B34716">
        <w:rPr>
          <w:rFonts w:ascii="Times New Roman" w:hAnsi="Times New Roman" w:cs="Times New Roman"/>
          <w:lang w:val="en-GB"/>
        </w:rPr>
        <w:t>.</w:t>
      </w:r>
    </w:p>
    <w:p w14:paraId="28004CB5" w:rsidR="00B34716" w:rsidRPr="00B34716" w:rsidRDefault="00B34716" w:rsidP="00B34716">
      <w:pPr>
        <w:tabs>
          <w:tab w:val="left" w:pos="540"/>
        </w:tabs>
        <w:jc w:val="both"/>
        <w:outlineLvl w:val="0"/>
        <w:rPr>
          <w:rFonts w:ascii="Times New Roman" w:hAnsi="Times New Roman" w:cs="Times New Roman"/>
          <w:lang w:val="en-GB"/>
        </w:rPr>
      </w:pPr>
    </w:p>
    <w:p w14:paraId="5F61E057" w:rsidR="00B34716" w:rsidRPr="000967A4" w:rsidRDefault="00B34716" w:rsidP="00B34716">
      <w:pPr>
        <w:tabs>
          <w:tab w:val="left" w:pos="540"/>
        </w:tabs>
        <w:jc w:val="both"/>
        <w:outlineLvl w:val="0"/>
        <w:rPr>
          <w:rFonts w:ascii="Times New Roman" w:hAnsi="Times New Roman" w:cs="Times New Roman"/>
          <w:bCs/>
          <w:lang w:val="en-GB"/>
        </w:rPr>
      </w:pPr>
      <w:r w:rsidRPr="000967A4">
        <w:rPr>
          <w:rFonts w:ascii="Times New Roman" w:hAnsi="Times New Roman" w:cs="Times New Roman"/>
          <w:lang w:val="en-GB"/>
        </w:rPr>
        <w:t xml:space="preserve">Direct Project Services </w:t>
      </w:r>
    </w:p>
    <w:p w14:paraId="677C3F77" w:rsidR="00B34716" w:rsidRPr="000967A4"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0967A4">
        <w:rPr>
          <w:rFonts w:ascii="Times New Roman" w:hAnsi="Times New Roman" w:cs="Times New Roman"/>
          <w:lang w:val="en-GB"/>
        </w:rPr>
        <w:t xml:space="preserve">In its role as GEF Implementing Agency (IA) for this project, UNDP shall provide project cycle management services as defined by the GEF Council </w:t>
      </w:r>
      <w:r w:rsidR="00526856" w:rsidRPr="000967A4">
        <w:rPr>
          <w:rFonts w:ascii="Times New Roman" w:hAnsi="Times New Roman" w:cs="Times New Roman"/>
          <w:lang w:val="en-GB"/>
        </w:rPr>
        <w:t xml:space="preserve">(described in Annex </w:t>
      </w:r>
      <w:r w:rsidR="000967A4" w:rsidRPr="000967A4">
        <w:rPr>
          <w:rFonts w:ascii="Times New Roman" w:hAnsi="Times New Roman" w:cs="Times New Roman"/>
          <w:lang w:val="en-GB"/>
        </w:rPr>
        <w:t>13</w:t>
      </w:r>
      <w:r w:rsidRPr="000967A4">
        <w:rPr>
          <w:rFonts w:ascii="Times New Roman" w:hAnsi="Times New Roman" w:cs="Times New Roman"/>
          <w:lang w:val="en-GB"/>
        </w:rPr>
        <w:t xml:space="preserve">). The Government of </w:t>
      </w:r>
      <w:r w:rsidR="00E35162" w:rsidRPr="000967A4">
        <w:rPr>
          <w:rFonts w:ascii="Times New Roman" w:hAnsi="Times New Roman" w:cs="Times New Roman"/>
          <w:lang w:val="en-GB"/>
        </w:rPr>
        <w:t>Grenada</w:t>
      </w:r>
      <w:r w:rsidRPr="000967A4">
        <w:rPr>
          <w:rFonts w:ascii="Times New Roman" w:hAnsi="Times New Roman" w:cs="Times New Roman"/>
          <w:lang w:val="en-GB"/>
        </w:rPr>
        <w:t xml:space="preserve"> shall request UNDP to provide direct project services specific to project inputs according to its policies and convenience. These services –and the costs of such services - are specified in the </w:t>
      </w:r>
      <w:r w:rsidR="00526856" w:rsidRPr="000967A4">
        <w:rPr>
          <w:rFonts w:ascii="Times New Roman" w:hAnsi="Times New Roman" w:cs="Times New Roman"/>
          <w:lang w:val="en-GB"/>
        </w:rPr>
        <w:t xml:space="preserve">Letter of Agreement in Annex </w:t>
      </w:r>
      <w:r w:rsidR="000967A4" w:rsidRPr="000967A4">
        <w:rPr>
          <w:rFonts w:ascii="Times New Roman" w:hAnsi="Times New Roman" w:cs="Times New Roman"/>
          <w:lang w:val="en-GB"/>
        </w:rPr>
        <w:t>13</w:t>
      </w:r>
      <w:r w:rsidRPr="000967A4">
        <w:rPr>
          <w:rFonts w:ascii="Times New Roman" w:hAnsi="Times New Roman" w:cs="Times New Roman"/>
          <w:lang w:val="en-GB"/>
        </w:rPr>
        <w:t xml:space="preserve">. In accordance with GEF Council requirements, the costs of these services will be part of the executing entity’s Project Management Cost allocation identified in the project budget. UNDP and the Government of </w:t>
      </w:r>
      <w:r w:rsidR="00526856" w:rsidRPr="000967A4">
        <w:rPr>
          <w:rFonts w:ascii="Times New Roman" w:hAnsi="Times New Roman" w:cs="Times New Roman"/>
          <w:lang w:val="en-GB"/>
        </w:rPr>
        <w:t>Grenada</w:t>
      </w:r>
      <w:r w:rsidRPr="000967A4">
        <w:rPr>
          <w:rFonts w:ascii="Times New Roman" w:hAnsi="Times New Roman" w:cs="Times New Roman"/>
          <w:lang w:val="en-GB"/>
        </w:rPr>
        <w:t xml:space="preserve"> acknowledge and agree that these services are not mandatory and will only be provided in full accordance with UNDP policies on recovery of direct costs.</w:t>
      </w:r>
    </w:p>
    <w:p w14:paraId="63751C6A" w:rsidR="00B34716" w:rsidRPr="00B34716" w:rsidRDefault="00B34716" w:rsidP="00B34716">
      <w:pPr>
        <w:tabs>
          <w:tab w:val="left" w:pos="540"/>
        </w:tabs>
        <w:jc w:val="both"/>
        <w:outlineLvl w:val="0"/>
        <w:rPr>
          <w:rFonts w:ascii="Times New Roman" w:hAnsi="Times New Roman" w:cs="Times New Roman"/>
          <w:bCs/>
          <w:lang w:val="en-GB"/>
        </w:rPr>
      </w:pPr>
    </w:p>
    <w:p w14:paraId="7E9121E6" w:rsidR="00B34716" w:rsidRPr="002921A5" w:rsidRDefault="00B34716" w:rsidP="00B34716">
      <w:pPr>
        <w:tabs>
          <w:tab w:val="left" w:pos="540"/>
        </w:tabs>
        <w:jc w:val="both"/>
        <w:outlineLvl w:val="0"/>
        <w:rPr>
          <w:rFonts w:ascii="Times New Roman" w:hAnsi="Times New Roman" w:cs="Times New Roman"/>
          <w:bCs/>
          <w:lang w:val="en-GB"/>
        </w:rPr>
      </w:pPr>
      <w:r w:rsidRPr="00B34716">
        <w:rPr>
          <w:rFonts w:ascii="Times New Roman" w:hAnsi="Times New Roman" w:cs="Times New Roman"/>
          <w:lang w:val="en-GB"/>
        </w:rPr>
        <w:t>Audit Clause</w:t>
      </w:r>
    </w:p>
    <w:p w14:paraId="1E49A8AB"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lang w:val="en-GB"/>
        </w:rPr>
        <w:t xml:space="preserve">The Government of </w:t>
      </w:r>
      <w:r w:rsidR="00332541">
        <w:rPr>
          <w:rFonts w:ascii="Times New Roman" w:hAnsi="Times New Roman" w:cs="Times New Roman"/>
          <w:lang w:val="en-GB"/>
        </w:rPr>
        <w:t>Grenada</w:t>
      </w:r>
      <w:r w:rsidRPr="00B34716">
        <w:rPr>
          <w:rFonts w:ascii="Times New Roman" w:hAnsi="Times New Roman" w:cs="Times New Roman"/>
          <w:lang w:val="en-GB"/>
        </w:rPr>
        <w:t xml:space="preserve"> will provide the UNDP Resident Representative in Barbados with certified periodic financial statements, and with an annual audit of the financial statements relating to UNDP (including GEF) funds according to the established procedures set out in the Programming and Finance manuals. The Audit will be conducted by the legally recognized auditor of the Government, or by a commercial auditor engaged by the Government. The firm will be selected through a bidding process and will be subjected to a rigorous evaluation within the principles of transparency, neutrality and cost benefit.</w:t>
      </w:r>
    </w:p>
    <w:p w14:paraId="755A447D" w:rsidR="00B34716" w:rsidRPr="00B34716" w:rsidRDefault="00B34716" w:rsidP="00B34716">
      <w:pPr>
        <w:tabs>
          <w:tab w:val="left" w:pos="540"/>
        </w:tabs>
        <w:jc w:val="both"/>
        <w:outlineLvl w:val="0"/>
        <w:rPr>
          <w:rFonts w:ascii="Times New Roman" w:hAnsi="Times New Roman" w:cs="Times New Roman"/>
          <w:bCs/>
          <w:lang w:val="en-GB"/>
        </w:rPr>
      </w:pPr>
    </w:p>
    <w:p w14:paraId="2A4AB0AF" w:rsid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iCs/>
          <w:lang w:val="en-GB"/>
        </w:rPr>
        <w:t xml:space="preserve">The project will be audited in accordance with the UNDP Financial Regulations and Rules and applicable audit policies. </w:t>
      </w:r>
      <w:r w:rsidRPr="00B34716">
        <w:rPr>
          <w:rFonts w:ascii="Times New Roman" w:hAnsi="Times New Roman" w:cs="Times New Roman"/>
          <w:lang w:val="en-GB"/>
        </w:rPr>
        <w:t>An audit to the Project is an integral part of UNDP financial and administrative management within the framework of UNDP’s accountability, internally and with regards to the GEF. The project will be audited to ensure that resources are administered in accordance with the financial regulations of the project document, workplan and budget. The project’s budget should contemplate the resources needed to carry out the audit. The firm selected by UNDP Barbados, through a bidding process and subjected to a rigorous evaluation within the principles of transparency, neutrality and cost benefit will take over this exercise in accountability.</w:t>
      </w:r>
    </w:p>
    <w:p w14:paraId="2122B0DC" w:rsidR="002921A5" w:rsidRPr="002921A5" w:rsidRDefault="002921A5" w:rsidP="002921A5">
      <w:pPr>
        <w:tabs>
          <w:tab w:val="left" w:pos="540"/>
        </w:tabs>
        <w:spacing w:after="0" w:line="240" w:lineRule="auto"/>
        <w:jc w:val="both"/>
        <w:outlineLvl w:val="0"/>
        <w:rPr>
          <w:rFonts w:ascii="Times New Roman" w:hAnsi="Times New Roman" w:cs="Times New Roman"/>
          <w:bCs/>
          <w:lang w:val="en-GB"/>
        </w:rPr>
      </w:pPr>
    </w:p>
    <w:p w14:paraId="492D8060" w:rsidR="00B34716" w:rsidRPr="002921A5" w:rsidRDefault="00B34716" w:rsidP="00B34716">
      <w:pPr>
        <w:tabs>
          <w:tab w:val="left" w:pos="540"/>
        </w:tabs>
        <w:jc w:val="both"/>
        <w:outlineLvl w:val="0"/>
        <w:rPr>
          <w:rFonts w:ascii="Times New Roman" w:hAnsi="Times New Roman" w:cs="Times New Roman"/>
          <w:bCs/>
          <w:lang w:val="en-GB"/>
        </w:rPr>
      </w:pPr>
      <w:r w:rsidRPr="00B34716">
        <w:rPr>
          <w:rFonts w:ascii="Times New Roman" w:hAnsi="Times New Roman" w:cs="Times New Roman"/>
          <w:lang w:val="en-GB"/>
        </w:rPr>
        <w:t>Communications and visibility requirements</w:t>
      </w:r>
    </w:p>
    <w:p w14:paraId="15F3C7B5"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lang w:val="en-GB"/>
        </w:rPr>
        <w:t xml:space="preserve">Full compliance is required with UNDP’s Branding Guidelines.  These can be accessed at </w:t>
      </w:r>
      <w:hyperlink r:id="rId22" w:history="1">
        <w:r w:rsidRPr="00B34716">
          <w:rPr>
            <w:rStyle w:val="Hyperlink"/>
            <w:rFonts w:ascii="Times New Roman" w:hAnsi="Times New Roman" w:cs="Times New Roman"/>
            <w:lang w:val="en-GB"/>
          </w:rPr>
          <w:t>http://intra.undp.org/coa/branding.shtml</w:t>
        </w:r>
      </w:hyperlink>
      <w:r w:rsidRPr="00B34716">
        <w:rPr>
          <w:rFonts w:ascii="Times New Roman" w:hAnsi="Times New Roman" w:cs="Times New Roman"/>
          <w:lang w:val="en-GB"/>
        </w:rPr>
        <w:t xml:space="preserve">, and specific guidelines on UNDP logo use can be accessed at: </w:t>
      </w:r>
      <w:hyperlink r:id="rId23" w:history="1">
        <w:r w:rsidRPr="00B34716">
          <w:rPr>
            <w:rStyle w:val="Hyperlink"/>
            <w:rFonts w:ascii="Times New Roman" w:hAnsi="Times New Roman" w:cs="Times New Roman"/>
            <w:lang w:val="en-GB"/>
          </w:rPr>
          <w:t>http://intra.undp.org/branding/useOfLogo.html</w:t>
        </w:r>
      </w:hyperlink>
      <w:r w:rsidRPr="00B34716">
        <w:rPr>
          <w:rFonts w:ascii="Times New Roman" w:hAnsi="Times New Roman" w:cs="Times New Roman"/>
          <w:lang w:val="en-GB"/>
        </w:rPr>
        <w:t xml:space="preserve">.  Amongst other things, these guidelines describe when and how the UNDP logo needs to be used, as well as how the logos of donors to UNDP projects need to be used.  For the avoidance of any doubt, when logo use is required, the UNDP logo needs to be used alongside the GEF logo.   The </w:t>
      </w:r>
      <w:hyperlink r:id="rId24" w:history="1">
        <w:r w:rsidRPr="00B34716">
          <w:rPr>
            <w:rFonts w:ascii="Times New Roman" w:hAnsi="Times New Roman" w:cs="Times New Roman"/>
            <w:lang w:val="en-GB"/>
          </w:rPr>
          <w:t>GEF logo</w:t>
        </w:r>
      </w:hyperlink>
      <w:r w:rsidRPr="00B34716">
        <w:rPr>
          <w:rFonts w:ascii="Times New Roman" w:hAnsi="Times New Roman" w:cs="Times New Roman"/>
          <w:lang w:val="en-GB"/>
        </w:rPr>
        <w:t xml:space="preserve"> can be accessed at</w:t>
      </w:r>
      <w:r w:rsidRPr="00B34716">
        <w:rPr>
          <w:rFonts w:ascii="Times New Roman" w:hAnsi="Times New Roman" w:cs="Times New Roman"/>
          <w:color w:val="0000FF"/>
          <w:lang w:val="en-GB"/>
        </w:rPr>
        <w:t xml:space="preserve">: </w:t>
      </w:r>
      <w:hyperlink r:id="rId25" w:history="1">
        <w:r w:rsidRPr="00B34716">
          <w:rPr>
            <w:rFonts w:ascii="Times New Roman" w:hAnsi="Times New Roman" w:cs="Times New Roman"/>
            <w:color w:val="0000FF"/>
            <w:lang w:val="en-GB"/>
          </w:rPr>
          <w:t>http://www.thegef.org/gef/GEF_logo</w:t>
        </w:r>
      </w:hyperlink>
      <w:r w:rsidRPr="00B34716">
        <w:rPr>
          <w:rFonts w:ascii="Times New Roman" w:hAnsi="Times New Roman" w:cs="Times New Roman"/>
          <w:lang w:val="en-GB"/>
        </w:rPr>
        <w:t xml:space="preserve">.   The </w:t>
      </w:r>
      <w:hyperlink r:id="rId26" w:history="1">
        <w:r w:rsidRPr="00B34716">
          <w:rPr>
            <w:rFonts w:ascii="Times New Roman" w:hAnsi="Times New Roman" w:cs="Times New Roman"/>
            <w:lang w:val="en-GB"/>
          </w:rPr>
          <w:t>UNDP logo</w:t>
        </w:r>
      </w:hyperlink>
      <w:r w:rsidRPr="00B34716">
        <w:rPr>
          <w:rFonts w:ascii="Times New Roman" w:hAnsi="Times New Roman" w:cs="Times New Roman"/>
          <w:lang w:val="en-GB"/>
        </w:rPr>
        <w:t xml:space="preserve"> can be accessed at </w:t>
      </w:r>
      <w:hyperlink r:id="rId27" w:history="1">
        <w:r w:rsidRPr="00B34716">
          <w:rPr>
            <w:rStyle w:val="Hyperlink"/>
            <w:rFonts w:ascii="Times New Roman" w:hAnsi="Times New Roman" w:cs="Times New Roman"/>
            <w:lang w:val="en-GB"/>
          </w:rPr>
          <w:t>http://intra.undp.org/coa/branding.shtml</w:t>
        </w:r>
      </w:hyperlink>
      <w:r w:rsidRPr="00B34716">
        <w:rPr>
          <w:rFonts w:ascii="Times New Roman" w:hAnsi="Times New Roman" w:cs="Times New Roman"/>
          <w:lang w:val="en-GB"/>
        </w:rPr>
        <w:t>.</w:t>
      </w:r>
    </w:p>
    <w:p w14:paraId="47A70C89" w:rsidR="00B34716" w:rsidRPr="00B34716" w:rsidRDefault="00B34716" w:rsidP="00B34716">
      <w:pPr>
        <w:tabs>
          <w:tab w:val="left" w:pos="540"/>
        </w:tabs>
        <w:jc w:val="both"/>
        <w:outlineLvl w:val="0"/>
        <w:rPr>
          <w:rFonts w:ascii="Times New Roman" w:hAnsi="Times New Roman" w:cs="Times New Roman"/>
          <w:bCs/>
          <w:lang w:val="en-GB"/>
        </w:rPr>
      </w:pPr>
    </w:p>
    <w:p w14:paraId="0B3B439A"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lang w:val="en-GB"/>
        </w:rPr>
        <w:t xml:space="preserve">Full compliance is also required with the GEF’s Communication and Visibility Guidelines (the “GEF Guidelines”).  The GEF Guidelines can be accessed at: </w:t>
      </w:r>
      <w:hyperlink r:id="rId28" w:history="1">
        <w:r w:rsidRPr="00B34716">
          <w:rPr>
            <w:rStyle w:val="Hyperlink"/>
            <w:rFonts w:ascii="Times New Roman" w:hAnsi="Times New Roman" w:cs="Times New Roman"/>
            <w:lang w:val="en-GB"/>
          </w:rPr>
          <w:t>http://www.thegef.org/gef/sites/thegef.org/files/documents/C.40.08_Branding_the_GEF%20final_0.pdf</w:t>
        </w:r>
      </w:hyperlink>
      <w:r w:rsidRPr="00B34716">
        <w:rPr>
          <w:rFonts w:ascii="Times New Roman" w:hAnsi="Times New Roman" w:cs="Times New Roman"/>
          <w:lang w:val="en-GB"/>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3D2EB359" w:rsidR="00B34716" w:rsidRPr="00B34716" w:rsidRDefault="00B34716" w:rsidP="00B34716">
      <w:pPr>
        <w:tabs>
          <w:tab w:val="left" w:pos="540"/>
        </w:tabs>
        <w:jc w:val="both"/>
        <w:outlineLvl w:val="0"/>
        <w:rPr>
          <w:rFonts w:ascii="Times New Roman" w:hAnsi="Times New Roman" w:cs="Times New Roman"/>
          <w:lang w:val="en-GB"/>
        </w:rPr>
      </w:pPr>
    </w:p>
    <w:p w14:paraId="3662F32D" w:rsid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B34716">
        <w:rPr>
          <w:rFonts w:ascii="Times New Roman" w:hAnsi="Times New Roman" w:cs="Times New Roman"/>
          <w:lang w:val="en-GB"/>
        </w:rPr>
        <w:t>Where other agencies and project partners have provided support through co-financing, their branding policies and requirements should be similarly applied.</w:t>
      </w:r>
    </w:p>
    <w:p w14:paraId="6ACA69F7" w:rsidR="002921A5" w:rsidRDefault="002921A5" w:rsidP="002921A5">
      <w:pPr>
        <w:pStyle w:val="ListParagraph"/>
        <w:rPr>
          <w:rFonts w:ascii="Times New Roman" w:hAnsi="Times New Roman" w:cs="Times New Roman"/>
          <w:bCs/>
          <w:lang w:val="en-GB"/>
        </w:rPr>
      </w:pPr>
    </w:p>
    <w:p w14:paraId="7074CC7A" w:rsidR="002921A5" w:rsidRPr="002921A5" w:rsidRDefault="002921A5" w:rsidP="002921A5">
      <w:pPr>
        <w:tabs>
          <w:tab w:val="left" w:pos="540"/>
        </w:tabs>
        <w:spacing w:after="0" w:line="240" w:lineRule="auto"/>
        <w:jc w:val="both"/>
        <w:outlineLvl w:val="0"/>
        <w:rPr>
          <w:rFonts w:ascii="Times New Roman" w:hAnsi="Times New Roman" w:cs="Times New Roman"/>
          <w:bCs/>
          <w:lang w:val="en-GB"/>
        </w:rPr>
      </w:pPr>
    </w:p>
    <w:p w14:paraId="1E60C309" w:rsidR="00B34716" w:rsidRPr="002921A5" w:rsidRDefault="00B34716" w:rsidP="00B34716">
      <w:pPr>
        <w:tabs>
          <w:tab w:val="left" w:pos="540"/>
        </w:tabs>
        <w:jc w:val="both"/>
        <w:outlineLvl w:val="0"/>
        <w:rPr>
          <w:rFonts w:ascii="Times New Roman" w:hAnsi="Times New Roman" w:cs="Times New Roman"/>
          <w:bCs/>
          <w:lang w:val="en-GB"/>
        </w:rPr>
      </w:pPr>
      <w:r w:rsidRPr="00B34716">
        <w:rPr>
          <w:rFonts w:ascii="Times New Roman" w:hAnsi="Times New Roman" w:cs="Times New Roman"/>
          <w:lang w:val="en-GB"/>
        </w:rPr>
        <w:t>Administrative arrangements</w:t>
      </w:r>
    </w:p>
    <w:p w14:paraId="7B7256EA" w:rsidR="00B34716" w:rsidRPr="00B34716" w:rsidRDefault="00B34716" w:rsidP="00B34716">
      <w:pPr>
        <w:numPr>
          <w:ilvl w:val="0"/>
          <w:numId w:val="82"/>
        </w:numPr>
        <w:tabs>
          <w:tab w:val="left" w:pos="540"/>
        </w:tabs>
        <w:spacing w:after="0" w:line="240" w:lineRule="auto"/>
        <w:ind w:left="0" w:firstLine="0"/>
        <w:jc w:val="both"/>
        <w:outlineLvl w:val="0"/>
        <w:rPr>
          <w:rFonts w:ascii="Times New Roman" w:hAnsi="Times New Roman" w:cs="Times New Roman"/>
          <w:bCs/>
          <w:lang w:val="en-GB"/>
        </w:rPr>
      </w:pPr>
      <w:r w:rsidRPr="00E35162">
        <w:rPr>
          <w:rFonts w:ascii="Times New Roman" w:hAnsi="Times New Roman" w:cs="Times New Roman"/>
          <w:lang w:val="en-GB"/>
        </w:rPr>
        <w:t xml:space="preserve">The project will be financed by the GEF with a total amount of </w:t>
      </w:r>
      <w:r w:rsidR="00E35162" w:rsidRPr="00E35162">
        <w:rPr>
          <w:rFonts w:ascii="Times New Roman" w:hAnsi="Times New Roman" w:cs="Times New Roman"/>
          <w:lang w:val="en-GB"/>
        </w:rPr>
        <w:t>US$3,031,666</w:t>
      </w:r>
      <w:r w:rsidRPr="00E35162">
        <w:rPr>
          <w:rFonts w:ascii="Times New Roman" w:hAnsi="Times New Roman" w:cs="Times New Roman"/>
          <w:lang w:val="en-GB"/>
        </w:rPr>
        <w:t xml:space="preserve">.  The Government of </w:t>
      </w:r>
      <w:r w:rsidR="00332541" w:rsidRPr="00E35162">
        <w:rPr>
          <w:rFonts w:ascii="Times New Roman" w:hAnsi="Times New Roman" w:cs="Times New Roman"/>
          <w:lang w:val="en-GB"/>
        </w:rPr>
        <w:t xml:space="preserve">Grenada </w:t>
      </w:r>
      <w:r w:rsidRPr="00E35162">
        <w:rPr>
          <w:rFonts w:ascii="Times New Roman" w:hAnsi="Times New Roman" w:cs="Times New Roman"/>
          <w:lang w:val="en-GB"/>
        </w:rPr>
        <w:t>has committed cash co-financing to t</w:t>
      </w:r>
      <w:r w:rsidR="00E35162" w:rsidRPr="00E35162">
        <w:rPr>
          <w:rFonts w:ascii="Times New Roman" w:hAnsi="Times New Roman" w:cs="Times New Roman"/>
          <w:lang w:val="en-GB"/>
        </w:rPr>
        <w:t>he Project to an amount of US$15,426,822</w:t>
      </w:r>
      <w:r w:rsidRPr="00E35162">
        <w:rPr>
          <w:rFonts w:ascii="Times New Roman" w:hAnsi="Times New Roman" w:cs="Times New Roman"/>
          <w:lang w:val="en-GB"/>
        </w:rPr>
        <w:t>.</w:t>
      </w:r>
      <w:r w:rsidRPr="00B34716">
        <w:rPr>
          <w:rFonts w:ascii="Times New Roman" w:hAnsi="Times New Roman" w:cs="Times New Roman"/>
          <w:lang w:val="en-GB"/>
        </w:rPr>
        <w:t xml:space="preserve">  These resources will mainly be used for salaries, travel expenses, equipment, programs and subsidies, and basic operation and management expenses of the various project partner agencies that are participating in activities related to protected areas management.  To coordinate the spending of these resources with the GEF funds provided to the project, UNDP will make its installed capacity available to the Project, guaranteeing that their use is both transparent and prompt, with any services provided to the project by UNDP will be in accordance with its internal guidelines and regulations.  </w:t>
      </w:r>
    </w:p>
    <w:p w14:paraId="3A93160D" w:rsidR="006C0B28" w:rsidRPr="00B34716" w:rsidRDefault="006C0B28" w:rsidP="00180208">
      <w:pPr>
        <w:pStyle w:val="ListParagraph"/>
        <w:numPr>
          <w:ilvl w:val="0"/>
          <w:numId w:val="27"/>
        </w:numPr>
        <w:spacing w:after="240" w:line="240" w:lineRule="auto"/>
        <w:ind w:left="0" w:firstLine="0"/>
        <w:contextualSpacing w:val="0"/>
        <w:jc w:val="both"/>
        <w:rPr>
          <w:rFonts w:ascii="Times New Roman" w:eastAsiaTheme="majorEastAsia" w:hAnsi="Times New Roman" w:cs="Times New Roman"/>
          <w:b/>
          <w:bCs/>
          <w:sz w:val="28"/>
          <w:szCs w:val="28"/>
        </w:rPr>
      </w:pPr>
      <w:r w:rsidRPr="00B34716">
        <w:rPr>
          <w:rFonts w:ascii="Times New Roman" w:hAnsi="Times New Roman" w:cs="Times New Roman"/>
        </w:rPr>
        <w:br w:type="page"/>
      </w:r>
    </w:p>
    <w:p w14:paraId="3F06ECD2" w:rsidR="00133632" w:rsidRPr="00DC4545" w:rsidRDefault="00F165D0" w:rsidP="009C3E04">
      <w:pPr>
        <w:pStyle w:val="Heading1"/>
      </w:pPr>
      <w:bookmarkStart w:id="52" w:name="_Toc389820977"/>
      <w:r>
        <w:t xml:space="preserve">SECTION </w:t>
      </w:r>
      <w:r w:rsidR="00133632" w:rsidRPr="00DC4545">
        <w:t xml:space="preserve">V: MONITORING </w:t>
      </w:r>
      <w:r w:rsidR="006C0B28">
        <w:t xml:space="preserve">&amp; </w:t>
      </w:r>
      <w:r w:rsidR="00133632" w:rsidRPr="00DC4545">
        <w:t>EVALUATION</w:t>
      </w:r>
      <w:bookmarkEnd w:id="52"/>
    </w:p>
    <w:p w14:paraId="08A9C6B7" w:rsidR="00133632" w:rsidRPr="00DC4545" w:rsidRDefault="00133632" w:rsidP="009C3E04">
      <w:pPr>
        <w:rPr>
          <w:rFonts w:ascii="Times New Roman" w:hAnsi="Times New Roman" w:cs="Times New Roman"/>
        </w:rPr>
      </w:pPr>
    </w:p>
    <w:p w14:paraId="65412262"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71E75950"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544CAAAA"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2A8BB2D0"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388E46D7"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73D9522F"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7568EEB6"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2F919993"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406DD9A1"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0D5F2282"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4D9676CA"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762ACF2D"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334B973B"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662AFEEB"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18326FA7"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567B08A1"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46D13D56"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662FCD30"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36B06A6E"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34281E23"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5330B7C8"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0B45C4BC" w:rsidR="00B34716" w:rsidRPr="00B34716" w:rsidRDefault="00B34716" w:rsidP="00CA416F">
      <w:pPr>
        <w:pStyle w:val="ListParagraph"/>
        <w:numPr>
          <w:ilvl w:val="0"/>
          <w:numId w:val="27"/>
        </w:numPr>
        <w:spacing w:after="240" w:line="240" w:lineRule="auto"/>
        <w:ind w:left="0" w:firstLine="0"/>
        <w:contextualSpacing w:val="0"/>
        <w:jc w:val="both"/>
        <w:rPr>
          <w:rFonts w:ascii="Times New Roman" w:hAnsi="Times New Roman" w:cs="Times New Roman"/>
          <w:vanish/>
        </w:rPr>
      </w:pPr>
    </w:p>
    <w:p w14:paraId="19EDA2BD" w:rsidR="006D7FB2" w:rsidRPr="006D7FB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6D7FB2">
        <w:rPr>
          <w:rFonts w:ascii="Times New Roman" w:hAnsi="Times New Roman" w:cs="Times New Roman"/>
        </w:rPr>
        <w:t xml:space="preserve">Project M&amp;E will be conducted  in accordance with the established  UNDP and GEF procedures and will be provided by the project team and the UNDP Sub-regional office with  support from the UNDP/GEF (Regional Coordinating Unit) in </w:t>
      </w:r>
      <w:r w:rsidRPr="00DC4545">
        <w:rPr>
          <w:rFonts w:ascii="Times New Roman" w:hAnsi="Times New Roman" w:cs="Times New Roman"/>
        </w:rPr>
        <w:t>Panama City. The Project Results Framework in Section 3 provides performance and impact indicators for project implementation along with their corresponding means of verification.  The M&amp;E plan includes an inception report, project implementation reviews, quarterly and annual review reports, mid-term and final evaluations, and audits. The following sections outline the principle components of the M&amp;E plan and indicative cost estimates related to M&amp;E activities. The project's M&amp;E plan will be presented and finalized in the Project Inception Report following a collective fine-tuning of indicators, means of verification, and the full definition of project staff M&amp;E responsibilities.</w:t>
      </w:r>
      <w:bookmarkStart w:id="53" w:name="_Toc312398973"/>
      <w:bookmarkStart w:id="54" w:name="_Toc343250500"/>
      <w:bookmarkStart w:id="55" w:name="_Toc347737123"/>
      <w:r w:rsidR="006D7FB2" w:rsidRPr="006D7FB2">
        <w:rPr>
          <w:rFonts w:ascii="Times New Roman" w:hAnsi="Times New Roman" w:cs="Times New Roman"/>
        </w:rPr>
        <w:t xml:space="preserve"> The project will be monitored through the following M&amp; E activities. The M&amp; E budget is provided in the table below.  </w:t>
      </w:r>
    </w:p>
    <w:p w14:paraId="6CEF0AB1"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Project start:</w:t>
      </w:r>
      <w:r w:rsidRPr="006D7FB2">
        <w:rPr>
          <w:rFonts w:ascii="Times New Roman" w:hAnsi="Times New Roman" w:eastAsia="Calibri" w:cs="Times New Roman"/>
        </w:rPr>
        <w:t xml:space="preserve">  A Project Inception Workshop will be held within the first 2 months of project start with those with assigned roles in the project organization structure, UNDP Sub-Regional Office and where appropriate/feasible regional technical policy and program advisors as well as other stakeholders.  The Inception Workshop is crucial to building ownership for the project results and to plan the first year annual work plan. </w:t>
      </w:r>
    </w:p>
    <w:p w14:paraId="4D9630A8"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rPr>
        <w:t xml:space="preserve">The Inception Workshop will address a number of key issues including: (a) Assist all partners to fully understand and take ownership of the project.  (b) Detail the roles, support services and complementary responsibilities of UNDP Sub-Regional Office and RSC staff vis à vis the project team. (c) Discuss the roles, functions, and responsibilities within the project's decision-making structures, including reporting and communication lines, and conflict resolution mechanisms. (d) The Terms of Reference (TOR) for project staff will be discussed again as needed. (e) Based on the project results framework and the relevant GEF Tracking Tool if appropriate, finalize the first annual work plan.  Review and agree on the indicators, targets and their means of verification, and recheck assumptions and risks.  (f) Provide a detailed overview of reporting, M&amp;E requirements. The M&amp;E work plan and budget should be agreed and scheduled. (g) Discuss financial reporting procedures and obligations, and arrangements for annual audit. (h) Plan and schedule Project Steering Committee (PSC) meetings. Roles and responsibilities of all project organization structures should be clarified and meetings planned.  The first PSC meeting should be held </w:t>
      </w:r>
      <w:r w:rsidRPr="006D7FB2">
        <w:rPr>
          <w:rFonts w:ascii="Times New Roman" w:hAnsi="Times New Roman" w:eastAsia="Calibri" w:cs="Times New Roman"/>
          <w:u w:val="single"/>
        </w:rPr>
        <w:t>within the first 2 months</w:t>
      </w:r>
      <w:r w:rsidRPr="006D7FB2">
        <w:rPr>
          <w:rFonts w:ascii="Times New Roman" w:hAnsi="Times New Roman" w:eastAsia="Calibri" w:cs="Times New Roman"/>
        </w:rPr>
        <w:t xml:space="preserve"> following the inception workshop.</w:t>
      </w:r>
    </w:p>
    <w:p w14:paraId="1E386812"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rPr>
        <w:t xml:space="preserve">An Inception Workshop report is a key reference document and must be prepared and shared with participants to formalize various agreements and plans decided during the meeting.  </w:t>
      </w:r>
    </w:p>
    <w:p w14:paraId="0A89ADA6"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Project Implementation Workplan</w:t>
      </w:r>
      <w:r w:rsidRPr="006D7FB2">
        <w:rPr>
          <w:rFonts w:ascii="Times New Roman" w:hAnsi="Times New Roman" w:eastAsia="Calibri" w:cs="Times New Roman"/>
        </w:rPr>
        <w:t xml:space="preserve">: Immediately following the inception workshop, the project will be tasked with generating a strategic workplan.  The workplan will outline the general timeframe for completion of key project outputs and achievement of outcomes.  The workplan will map and help guide project activity from inception to completion.   To ensure smooth transition between project design and inception, the inception workshop and work planning process will benefit from the input of parties responsible for the design of the original project, including as appropriate relevant technical advisors.  </w:t>
      </w:r>
    </w:p>
    <w:p w14:paraId="0D39726D"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Quarterly:</w:t>
      </w:r>
      <w:r w:rsidRPr="006D7FB2">
        <w:rPr>
          <w:rFonts w:ascii="Times New Roman" w:hAnsi="Times New Roman" w:eastAsia="Calibri" w:cs="Times New Roman"/>
        </w:rPr>
        <w:t xml:space="preserve"> Progress made shall be monitored in the UNDP Enhanced Results Based Management Platform. Based on the initial risk analysis submitted, the risk log shall be regularly updated in ATLAS. Risks become critical when the impact and probability are high.  Based on the information recorded in Atlas, a Project Progress Report (PPR) can be generated in the Executive Snapshot. Other ATLAS logs can be used to monitor issues, lessons learned etc. The use of these functions is a key indicator in the UNDP Executive Balanced Scorecard.</w:t>
      </w:r>
    </w:p>
    <w:p w14:paraId="56219299"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Annually (Annual Project Review/Project Implementation Reports (APR/PIR))</w:t>
      </w:r>
      <w:r w:rsidRPr="006D7FB2">
        <w:rPr>
          <w:rFonts w:ascii="Times New Roman" w:hAnsi="Times New Roman" w:eastAsia="Calibri" w:cs="Times New Roman"/>
        </w:rPr>
        <w:t xml:space="preserve">:  This key report is prepared to monitor progress made since project start and in particular for the previous reporting period (30 June to 1 July).  The APR/PIR combines both UNDP and GEF reporting requirements.  </w:t>
      </w:r>
    </w:p>
    <w:p w14:paraId="07DC6DF4" w:rsidR="006D7FB2" w:rsidRPr="006D7FB2" w:rsidRDefault="006D7FB2" w:rsidP="006D7FB2">
      <w:pPr>
        <w:spacing w:after="120" w:line="240" w:lineRule="auto"/>
        <w:jc w:val="both"/>
        <w:rPr>
          <w:rFonts w:ascii="Times New Roman" w:eastAsia="Calibri" w:hAnsi="Times New Roman" w:cs="Times New Roman"/>
          <w:u w:val="single"/>
        </w:rPr>
      </w:pPr>
      <w:r w:rsidRPr="006D7FB2">
        <w:rPr>
          <w:rFonts w:ascii="Times New Roman" w:hAnsi="Times New Roman" w:eastAsia="Calibri" w:cs="Times New Roman"/>
        </w:rPr>
        <w:t xml:space="preserve">The APR/PIR includes, but is not limited to, reporting on the following: (a) Progress made toward project objective and project outcomes - each with indicators, baseline data and end-of-project targets (cumulative); (b) Project outputs delivered per project outcome (annual); (c) Lesson learned/good practice; (d) AWP and other expenditure reports; (e) Risk and adaptive management; (f) ATLAS QPR; (g) Portfolio level indicators (i.e. GEF focal area tracking tools) are used by most focal areas on an annual basis as well.  </w:t>
      </w:r>
    </w:p>
    <w:p w14:paraId="0844AD6A"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Periodic Monitoring through site visits:</w:t>
      </w:r>
      <w:r w:rsidRPr="006D7FB2">
        <w:rPr>
          <w:rFonts w:ascii="Times New Roman" w:hAnsi="Times New Roman" w:eastAsia="Calibri" w:cs="Times New Roman"/>
        </w:rPr>
        <w:t xml:space="preserve">  UNDP Sub-Regional Office and the RSC will conduct visits to project sites based on the agreed schedule in the project's Inception Report/Annual Work Plan to assess first hand project progress.  Other members of the PSC may also join these visits. A Field Visit Report/BTOR will be prepared by the UNDP Sub-Regional Office and UNDP RSC and will be circulated no more than one month after the visit to the project team and PSC members.</w:t>
      </w:r>
    </w:p>
    <w:p w14:paraId="28081FB6"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Mid-term of project cycle:</w:t>
      </w:r>
      <w:r w:rsidRPr="006D7FB2">
        <w:rPr>
          <w:rFonts w:ascii="Times New Roman" w:hAnsi="Times New Roman" w:eastAsia="Calibri" w:cs="Times New Roman"/>
        </w:rPr>
        <w:t xml:space="preserve"> The project will undergo an independent Mid-Term Review during mid-point of project implementation (project months 28 – 29).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and terms of reference of the mid-term review will be decided after consultation between the parties to the project document. The TOR for this Mid-term review will be prepared by the UNDP Sub-Regional Office based on guidance from the RSC and UNDP-GEF. This independent expert will be recruited at least six months prior to the planned commencement of the mid-term review.  The management response and the review will be uploaded to UNDP corporate systems, in particular the </w:t>
      </w:r>
      <w:hyperlink r:id="rId29" w:history="1">
        <w:r w:rsidRPr="006D7FB2">
          <w:rPr>
            <w:rFonts w:ascii="Times New Roman" w:hAnsi="Times New Roman" w:eastAsia="Calibri" w:cs="Times New Roman"/>
            <w:color w:val="0000FF"/>
            <w:u w:val="single"/>
          </w:rPr>
          <w:t>UNDP Evaluation Office Evaluation Resource Center (ERC)</w:t>
        </w:r>
      </w:hyperlink>
      <w:r w:rsidRPr="006D7FB2">
        <w:rPr>
          <w:rFonts w:ascii="Times New Roman" w:hAnsi="Times New Roman" w:eastAsia="Calibri" w:cs="Times New Roman"/>
        </w:rPr>
        <w:t xml:space="preserve">.  The relevant GEF Focal Area Tracking Tools will also be completed during the mid-term review cycle. </w:t>
      </w:r>
    </w:p>
    <w:p w14:paraId="0DD36ED6"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End of Project:</w:t>
      </w:r>
      <w:r w:rsidRPr="006D7FB2">
        <w:rPr>
          <w:rFonts w:ascii="Times New Roman" w:hAnsi="Times New Roman" w:eastAsia="Calibri" w:cs="Times New Roman"/>
        </w:rPr>
        <w:t xml:space="preserve">  An independent Final Evaluation will take place three months prior to the final PSC meeting and will be undertaken in accordance with UNDP and GEF guidance. The final evaluation will focus on the delivery of the project’s results as initially planned (and as corrected after the mid-term review, if any such correction took place). The final evaluation will look at impact and sustainability of results, including the contribution to capacity development and the achievement of global environmental benefits/goals. The TOR for this evaluation will be prepared by the UNDP Sub-Regional Office based on guidance from the RSC and UNDP-GEF.</w:t>
      </w:r>
    </w:p>
    <w:p w14:paraId="1F5685FE"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rPr>
        <w:t xml:space="preserve">The Final Evaluation should also provide recommendations for follow-up activities and requires a management response which should be uploaded to PIMS and to the </w:t>
      </w:r>
      <w:hyperlink r:id="rId30" w:history="1">
        <w:r w:rsidRPr="006D7FB2">
          <w:rPr>
            <w:rFonts w:ascii="Times New Roman" w:hAnsi="Times New Roman" w:eastAsia="Calibri" w:cs="Times New Roman"/>
            <w:color w:val="0000FF"/>
            <w:u w:val="single"/>
          </w:rPr>
          <w:t>UNDP Evaluation Office Evaluation Resource Center (ERC)</w:t>
        </w:r>
      </w:hyperlink>
      <w:r w:rsidRPr="006D7FB2">
        <w:rPr>
          <w:rFonts w:ascii="Times New Roman" w:hAnsi="Times New Roman" w:eastAsia="Calibri" w:cs="Times New Roman"/>
        </w:rPr>
        <w:t xml:space="preserve">.  The relevant GEF Focal Area Tracking Tools will also be completed during the final evaluation. </w:t>
      </w:r>
    </w:p>
    <w:p w14:paraId="7A20BDF4" w:rsidR="006D7FB2" w:rsidRPr="006D7FB2" w:rsidRDefault="006D7FB2" w:rsidP="006D7FB2">
      <w:pPr>
        <w:tabs>
          <w:tab w:val="left" w:pos="360"/>
        </w:tabs>
        <w:spacing w:after="120" w:line="240" w:lineRule="auto"/>
        <w:jc w:val="both"/>
        <w:rPr>
          <w:rFonts w:ascii="Times New Roman" w:eastAsia="Calibri" w:hAnsi="Times New Roman" w:cs="Times New Roman"/>
        </w:rPr>
      </w:pPr>
      <w:bookmarkStart w:id="56" w:name="_Toc159568199"/>
      <w:bookmarkStart w:id="57" w:name="_Toc108965478"/>
      <w:bookmarkStart w:id="58" w:name="_Toc104107685"/>
      <w:bookmarkStart w:id="59" w:name="_Toc104107489"/>
      <w:bookmarkStart w:id="60" w:name="_Toc170813554"/>
      <w:bookmarkStart w:id="61" w:name="_Toc170813973"/>
      <w:r w:rsidRPr="006D7FB2">
        <w:rPr>
          <w:rFonts w:ascii="Times New Roman" w:hAnsi="Times New Roman" w:eastAsia="Calibri" w:cs="Times New Roman"/>
        </w:rPr>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7594E626" w:rsidR="006D7FB2" w:rsidRPr="006D7FB2" w:rsidRDefault="006D7FB2" w:rsidP="006D7FB2">
      <w:pPr>
        <w:tabs>
          <w:tab w:val="left" w:pos="360"/>
        </w:tabs>
        <w:spacing w:after="120" w:line="240" w:lineRule="auto"/>
        <w:jc w:val="both"/>
        <w:rPr>
          <w:rFonts w:ascii="Times New Roman" w:eastAsia="Calibri" w:hAnsi="Times New Roman" w:cs="Times New Roman"/>
        </w:rPr>
      </w:pPr>
      <w:r w:rsidRPr="006D7FB2">
        <w:rPr>
          <w:rFonts w:ascii="Times New Roman" w:hAnsi="Times New Roman" w:eastAsia="Calibri" w:cs="Times New Roman"/>
          <w:u w:val="single"/>
        </w:rPr>
        <w:t>Learning and knowledge sharing</w:t>
      </w:r>
      <w:bookmarkEnd w:id="56"/>
      <w:bookmarkEnd w:id="57"/>
      <w:bookmarkEnd w:id="58"/>
      <w:bookmarkEnd w:id="59"/>
      <w:bookmarkEnd w:id="60"/>
      <w:bookmarkEnd w:id="61"/>
      <w:r w:rsidRPr="006D7FB2">
        <w:rPr>
          <w:rFonts w:ascii="Times New Roman" w:hAnsi="Times New Roman" w:eastAsia="Calibri" w:cs="Times New Roman"/>
          <w:u w:val="single"/>
        </w:rPr>
        <w:t>:</w:t>
      </w:r>
      <w:r w:rsidRPr="006D7FB2">
        <w:rPr>
          <w:rFonts w:ascii="Times New Roman" w:hAnsi="Times New Roman" w:eastAsia="Calibri" w:cs="Times New Roman"/>
        </w:rPr>
        <w:t xml:space="preserve"> 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through lessons learned. The project will identify, analyze, and share lessons learned that might be beneficial in the design and implementation of similar future projects. Finally, there will be a two-way flow of information between this project and other projects of a similar focus.  </w:t>
      </w:r>
    </w:p>
    <w:p w14:paraId="0F2871C0" w:rsidR="006D7FB2" w:rsidRPr="006D7FB2" w:rsidRDefault="006D7FB2" w:rsidP="006D7FB2">
      <w:pPr>
        <w:keepNext/>
        <w:tabs>
          <w:tab w:val="left" w:pos="0"/>
        </w:tabs>
        <w:spacing w:after="120" w:line="240" w:lineRule="auto"/>
        <w:outlineLvl w:val="2"/>
        <w:rPr>
          <w:rFonts w:ascii="Times New Roman" w:eastAsia="Times New Roman" w:hAnsi="Times New Roman" w:cs="Times New Roman"/>
          <w:b/>
          <w:bCs/>
        </w:rPr>
      </w:pPr>
      <w:bookmarkStart w:id="62" w:name="_Toc387615954"/>
      <w:bookmarkStart w:id="63" w:name="_Toc389820978"/>
      <w:r w:rsidRPr="006D7FB2">
        <w:rPr>
          <w:rFonts w:ascii="Times New Roman" w:hAnsi="Times New Roman" w:eastAsia="Times New Roman" w:cs="Times New Roman"/>
          <w:b/>
          <w:bCs/>
        </w:rPr>
        <w:t>Communications and Visibility Requirements</w:t>
      </w:r>
      <w:bookmarkEnd w:id="53"/>
      <w:bookmarkEnd w:id="54"/>
      <w:bookmarkEnd w:id="55"/>
      <w:bookmarkEnd w:id="62"/>
      <w:bookmarkEnd w:id="63"/>
    </w:p>
    <w:p w14:paraId="54056F16" w:rsidR="006D7FB2" w:rsidRPr="006D7FB2" w:rsidRDefault="006D7FB2" w:rsidP="006D7FB2">
      <w:pPr>
        <w:spacing w:after="120" w:line="240" w:lineRule="auto"/>
        <w:jc w:val="both"/>
        <w:rPr>
          <w:rFonts w:ascii="Times New Roman" w:eastAsia="Times New Roman" w:hAnsi="Times New Roman" w:cs="Times New Roman"/>
          <w:lang w:eastAsia="zh-CN"/>
        </w:rPr>
      </w:pPr>
      <w:r w:rsidRPr="006D7FB2">
        <w:rPr>
          <w:rFonts w:ascii="Times New Roman" w:hAnsi="Times New Roman" w:eastAsia="Times New Roman" w:cs="Times New Roman"/>
          <w:lang w:eastAsia="zh-CN"/>
        </w:rPr>
        <w:t xml:space="preserve">The project will comply with UNDP’s Branding Guidelines, which can be accessed at: </w:t>
      </w:r>
    </w:p>
    <w:p w14:paraId="65BB61D3" w:rsidR="006D7FB2" w:rsidRPr="006D7FB2" w:rsidRDefault="00F050A3" w:rsidP="006D7FB2">
      <w:pPr>
        <w:spacing w:after="120" w:line="240" w:lineRule="auto"/>
        <w:jc w:val="both"/>
        <w:rPr>
          <w:rFonts w:ascii="Times New Roman" w:eastAsia="Times New Roman" w:hAnsi="Times New Roman" w:cs="Times New Roman"/>
          <w:szCs w:val="18"/>
          <w:lang w:eastAsia="zh-CN"/>
        </w:rPr>
      </w:pPr>
      <w:hyperlink r:id="rId31" w:history="1">
        <w:r w:rsidR="006D7FB2" w:rsidRPr="006D7FB2">
          <w:rPr>
            <w:rFonts w:ascii="Times New Roman" w:hAnsi="Times New Roman" w:eastAsia="Times New Roman" w:cs="Times New Roman"/>
            <w:color w:val="0000FF"/>
            <w:szCs w:val="18"/>
            <w:u w:val="single"/>
            <w:lang w:eastAsia="zh-CN"/>
          </w:rPr>
          <w:t>http://intra.undp.org/coa/ branding.shtml</w:t>
        </w:r>
      </w:hyperlink>
      <w:r w:rsidR="006D7FB2" w:rsidRPr="006D7FB2">
        <w:rPr>
          <w:rFonts w:ascii="Times New Roman" w:hAnsi="Times New Roman" w:eastAsia="Times New Roman" w:cs="Times New Roman"/>
          <w:szCs w:val="18"/>
          <w:lang w:eastAsia="zh-CN"/>
        </w:rPr>
        <w:t xml:space="preserve">. </w:t>
      </w:r>
    </w:p>
    <w:p w14:paraId="0180F24E" w:rsidR="006D7FB2" w:rsidRPr="006D7FB2" w:rsidRDefault="006D7FB2" w:rsidP="006D7FB2">
      <w:pPr>
        <w:spacing w:after="120" w:line="240" w:lineRule="auto"/>
        <w:jc w:val="both"/>
        <w:rPr>
          <w:rFonts w:ascii="Times New Roman" w:eastAsia="Times New Roman" w:hAnsi="Times New Roman" w:cs="Times New Roman"/>
          <w:szCs w:val="18"/>
          <w:lang w:eastAsia="zh-CN"/>
        </w:rPr>
      </w:pPr>
      <w:r w:rsidRPr="006D7FB2">
        <w:rPr>
          <w:rFonts w:ascii="Times New Roman" w:hAnsi="Times New Roman" w:eastAsia="Times New Roman" w:cs="Times New Roman"/>
          <w:szCs w:val="18"/>
          <w:lang w:eastAsia="zh-CN"/>
        </w:rPr>
        <w:t xml:space="preserve">Specific guidelines on UNDP logo use can be accessed at: </w:t>
      </w:r>
      <w:hyperlink r:id="rId32" w:history="1">
        <w:r w:rsidRPr="006D7FB2">
          <w:rPr>
            <w:rFonts w:ascii="Times New Roman" w:hAnsi="Times New Roman" w:eastAsia="Times New Roman" w:cs="Times New Roman"/>
            <w:color w:val="0000FF"/>
            <w:szCs w:val="18"/>
            <w:u w:val="single"/>
            <w:lang w:eastAsia="zh-CN"/>
          </w:rPr>
          <w:t>http://intra.undp.org/branding/useOfLogo.html</w:t>
        </w:r>
      </w:hyperlink>
      <w:r w:rsidRPr="006D7FB2">
        <w:rPr>
          <w:rFonts w:ascii="Times New Roman" w:hAnsi="Times New Roman" w:eastAsia="Times New Roman" w:cs="Times New Roman"/>
          <w:szCs w:val="18"/>
          <w:lang w:eastAsia="zh-CN"/>
        </w:rPr>
        <w:t xml:space="preserve">. Amongst other requirements, these guidelines describe when and how the UNDP and the logos of donors to UNDP projects are used. For the avoidance of any doubt, when logo use is required, the UNDP logo needs to be used alongside the GEF logo. The </w:t>
      </w:r>
      <w:hyperlink r:id="rId33" w:history="1">
        <w:r w:rsidRPr="006D7FB2">
          <w:rPr>
            <w:rFonts w:ascii="Times New Roman" w:hAnsi="Times New Roman" w:eastAsia="Times New Roman" w:cs="Times New Roman"/>
            <w:color w:val="0000FF"/>
            <w:szCs w:val="18"/>
            <w:u w:val="single"/>
            <w:lang w:eastAsia="zh-CN"/>
          </w:rPr>
          <w:t>GEF logo</w:t>
        </w:r>
      </w:hyperlink>
      <w:r w:rsidRPr="006D7FB2">
        <w:rPr>
          <w:rFonts w:ascii="Times New Roman" w:hAnsi="Times New Roman" w:eastAsia="Times New Roman" w:cs="Times New Roman"/>
          <w:szCs w:val="18"/>
          <w:lang w:eastAsia="zh-CN"/>
        </w:rPr>
        <w:t xml:space="preserve"> can be accessed at: </w:t>
      </w:r>
    </w:p>
    <w:p w14:paraId="34E1C1F8" w:rsidR="006D7FB2" w:rsidRPr="006D7FB2" w:rsidRDefault="00F050A3" w:rsidP="006D7FB2">
      <w:pPr>
        <w:spacing w:after="120" w:line="240" w:lineRule="auto"/>
        <w:jc w:val="both"/>
        <w:rPr>
          <w:rFonts w:ascii="Times New Roman" w:eastAsia="Times New Roman" w:hAnsi="Times New Roman" w:cs="Times New Roman"/>
          <w:szCs w:val="18"/>
          <w:lang w:eastAsia="zh-CN"/>
        </w:rPr>
      </w:pPr>
      <w:hyperlink r:id="rId34" w:history="1">
        <w:r w:rsidR="006D7FB2" w:rsidRPr="006D7FB2">
          <w:rPr>
            <w:rFonts w:ascii="Times New Roman" w:hAnsi="Times New Roman" w:eastAsia="Times New Roman" w:cs="Times New Roman"/>
            <w:color w:val="0000FF"/>
            <w:szCs w:val="18"/>
            <w:u w:val="single"/>
            <w:lang w:eastAsia="zh-CN"/>
          </w:rPr>
          <w:t>http://www.thegef.org/gef/GEF_logo</w:t>
        </w:r>
      </w:hyperlink>
    </w:p>
    <w:p w14:paraId="71911748" w:rsidR="006D7FB2" w:rsidRPr="006D7FB2" w:rsidRDefault="006D7FB2" w:rsidP="006D7FB2">
      <w:pPr>
        <w:spacing w:after="120" w:line="240" w:lineRule="auto"/>
        <w:jc w:val="both"/>
        <w:rPr>
          <w:rFonts w:ascii="Times New Roman" w:eastAsia="Times New Roman" w:hAnsi="Times New Roman" w:cs="Times New Roman"/>
          <w:szCs w:val="18"/>
          <w:lang w:eastAsia="zh-CN"/>
        </w:rPr>
      </w:pPr>
      <w:r w:rsidRPr="006D7FB2">
        <w:rPr>
          <w:rFonts w:ascii="Times New Roman" w:hAnsi="Times New Roman" w:eastAsia="Times New Roman" w:cs="Times New Roman"/>
          <w:szCs w:val="18"/>
          <w:lang w:eastAsia="zh-CN"/>
        </w:rPr>
        <w:t xml:space="preserve">Full compliance will also be observed with the GEF’s Communication and Visibility Guidelines (the “GEF Guidelines”), which can be accessed at: </w:t>
      </w:r>
    </w:p>
    <w:p w14:paraId="08BFA6BF" w:rsidR="006D7FB2" w:rsidRPr="006D7FB2" w:rsidRDefault="00F050A3" w:rsidP="006D7FB2">
      <w:pPr>
        <w:spacing w:after="120" w:line="240" w:lineRule="auto"/>
        <w:jc w:val="both"/>
        <w:rPr>
          <w:rFonts w:ascii="Times New Roman" w:eastAsia="Times New Roman" w:hAnsi="Times New Roman" w:cs="Times New Roman"/>
          <w:lang w:eastAsia="zh-CN"/>
        </w:rPr>
      </w:pPr>
      <w:hyperlink r:id="rId35" w:history="1">
        <w:r w:rsidR="006D7FB2" w:rsidRPr="006D7FB2">
          <w:rPr>
            <w:rFonts w:ascii="Times New Roman" w:hAnsi="Times New Roman" w:eastAsia="Times New Roman" w:cs="Times New Roman"/>
            <w:color w:val="0000FF"/>
            <w:szCs w:val="18"/>
            <w:u w:val="single"/>
            <w:lang w:eastAsia="zh-CN"/>
          </w:rPr>
          <w:t>http://www.thegef.org/gef/sites/thegef.org/files/documents/C.40.08_Branding_the_ GEF%20final_0.pdf</w:t>
        </w:r>
      </w:hyperlink>
      <w:r w:rsidR="006D7FB2" w:rsidRPr="006D7FB2">
        <w:rPr>
          <w:rFonts w:ascii="Times New Roman" w:hAnsi="Times New Roman" w:eastAsia="Times New Roman" w:cs="Times New Roman"/>
          <w:lang w:eastAsia="zh-CN"/>
        </w:rPr>
        <w:t xml:space="preserve">. </w:t>
      </w:r>
    </w:p>
    <w:p w14:paraId="0894A533" w:rsidR="006D7FB2" w:rsidRPr="006D7FB2" w:rsidRDefault="006D7FB2" w:rsidP="006D7FB2">
      <w:pPr>
        <w:spacing w:after="120" w:line="240" w:lineRule="auto"/>
        <w:jc w:val="both"/>
        <w:rPr>
          <w:rFonts w:ascii="Times New Roman" w:eastAsia="Times New Roman" w:hAnsi="Times New Roman" w:cs="Times New Roman"/>
          <w:szCs w:val="18"/>
          <w:lang w:eastAsia="zh-CN"/>
        </w:rPr>
      </w:pPr>
      <w:r w:rsidRPr="006D7FB2">
        <w:rPr>
          <w:rFonts w:ascii="Times New Roman" w:hAnsi="Times New Roman" w:eastAsia="Times New Roman" w:cs="Times New Roman"/>
          <w:szCs w:val="18"/>
          <w:lang w:eastAsia="zh-CN"/>
        </w:rPr>
        <w:t>These guidelines describe when and how the GEF logo needs to be used in project publications, vehicles, supplies and other project equipment. These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will be similarly applied.</w:t>
      </w:r>
    </w:p>
    <w:p w14:paraId="7A1095BE" w:rsidR="006D7FB2" w:rsidRPr="006D7FB2" w:rsidRDefault="006D7FB2" w:rsidP="006D7FB2">
      <w:pPr>
        <w:keepNext/>
        <w:spacing w:after="120" w:line="240" w:lineRule="auto"/>
        <w:outlineLvl w:val="2"/>
        <w:rPr>
          <w:rFonts w:ascii="Times New Roman" w:eastAsia="Times New Roman" w:hAnsi="Times New Roman" w:cs="Times New Roman"/>
          <w:b/>
          <w:bCs/>
        </w:rPr>
      </w:pPr>
      <w:bookmarkStart w:id="64" w:name="_Toc345505161"/>
      <w:bookmarkStart w:id="65" w:name="_Toc347737124"/>
      <w:bookmarkStart w:id="66" w:name="_Toc387615955"/>
      <w:bookmarkStart w:id="67" w:name="_Toc389820979"/>
      <w:r w:rsidRPr="006D7FB2">
        <w:rPr>
          <w:rFonts w:ascii="Times New Roman" w:hAnsi="Times New Roman" w:eastAsia="Times New Roman" w:cs="Times New Roman"/>
          <w:b/>
          <w:bCs/>
        </w:rPr>
        <w:t>Audit Clause</w:t>
      </w:r>
      <w:bookmarkEnd w:id="64"/>
      <w:bookmarkEnd w:id="65"/>
      <w:bookmarkEnd w:id="66"/>
      <w:bookmarkEnd w:id="67"/>
    </w:p>
    <w:p w14:paraId="1510746C" w:rsidR="006D7FB2" w:rsidRPr="006D7FB2" w:rsidRDefault="006D7FB2" w:rsidP="006D7FB2">
      <w:pPr>
        <w:jc w:val="both"/>
        <w:rPr>
          <w:rFonts w:ascii="Times New Roman" w:eastAsia="Times New Roman" w:hAnsi="Times New Roman" w:cs="Times New Roman"/>
          <w:szCs w:val="18"/>
          <w:lang w:eastAsia="zh-CN"/>
        </w:rPr>
      </w:pPr>
      <w:r w:rsidRPr="006D7FB2">
        <w:rPr>
          <w:rFonts w:ascii="Times New Roman" w:hAnsi="Times New Roman" w:eastAsia="Times New Roman" w:cs="Times New Roman"/>
          <w:szCs w:val="18"/>
          <w:lang w:eastAsia="zh-CN"/>
        </w:rPr>
        <w:t xml:space="preserve">The project will be audited in accordance with the UNDP Financial Regulations and Rules and applicable audit policies. </w:t>
      </w:r>
    </w:p>
    <w:p w14:paraId="09E31C1E" w:rsidR="006D7FB2" w:rsidRPr="006D7FB2" w:rsidRDefault="006D7FB2" w:rsidP="006D7FB2">
      <w:pPr>
        <w:jc w:val="center"/>
        <w:rPr>
          <w:rFonts w:ascii="Times New Roman" w:eastAsia="Calibri" w:hAnsi="Times New Roman" w:cs="Times New Roman"/>
          <w:b/>
          <w:bCs/>
          <w:u w:val="single"/>
        </w:rPr>
      </w:pPr>
      <w:r w:rsidRPr="006D7FB2">
        <w:rPr>
          <w:rFonts w:ascii="Times New Roman" w:hAnsi="Times New Roman" w:eastAsia="Calibri" w:cs="Times New Roman"/>
          <w:b/>
          <w:bCs/>
          <w:u w:val="single"/>
        </w:rPr>
        <w:t>M&amp;E Workplan and Budget</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309"/>
        <w:gridCol w:w="2225"/>
        <w:gridCol w:w="2120"/>
      </w:tblGrid>
      <w:tr w14:paraId="5037F441" w:rsidR="006D7FB2" w:rsidRPr="006D7FB2" w:rsidTr="006D7FB2">
        <w:trPr>
          <w:tblHeader/>
          <w:jc w:val="center"/>
        </w:trPr>
        <w:tc>
          <w:tcPr>
            <w:tcW w:w="1140" w:type="pct"/>
            <w:tcBorders>
              <w:top w:val="single" w:sz="4" w:space="0" w:color="auto"/>
              <w:left w:val="single" w:sz="4" w:space="0" w:color="auto"/>
              <w:bottom w:val="single" w:sz="4" w:space="0" w:color="auto"/>
              <w:right w:val="single" w:sz="4" w:space="0" w:color="auto"/>
            </w:tcBorders>
            <w:shd w:val="clear" w:color="auto" w:fill="D9D9D9"/>
            <w:hideMark/>
          </w:tcPr>
          <w:p w14:paraId="5297FA50" w:rsidR="006D7FB2" w:rsidRPr="006D7FB2" w:rsidRDefault="006D7FB2" w:rsidP="006D7FB2">
            <w:pPr>
              <w:spacing w:after="0" w:line="240" w:lineRule="auto"/>
              <w:jc w:val="center"/>
              <w:rPr>
                <w:rFonts w:ascii="Times New Roman" w:eastAsia="Calibri" w:hAnsi="Times New Roman" w:cs="Times New Roman"/>
                <w:b/>
                <w:bCs/>
                <w:sz w:val="20"/>
                <w:szCs w:val="20"/>
              </w:rPr>
            </w:pPr>
            <w:r w:rsidRPr="006D7FB2">
              <w:rPr>
                <w:rFonts w:ascii="Times New Roman" w:hAnsi="Times New Roman" w:eastAsia="Calibri" w:cs="Times New Roman"/>
                <w:b/>
                <w:bCs/>
                <w:sz w:val="20"/>
                <w:szCs w:val="20"/>
              </w:rPr>
              <w:t>Type of M&amp;E activity</w:t>
            </w:r>
          </w:p>
        </w:tc>
        <w:tc>
          <w:tcPr>
            <w:tcW w:w="1669" w:type="pct"/>
            <w:tcBorders>
              <w:top w:val="single" w:sz="4" w:space="0" w:color="auto"/>
              <w:left w:val="single" w:sz="4" w:space="0" w:color="auto"/>
              <w:bottom w:val="single" w:sz="4" w:space="0" w:color="auto"/>
              <w:right w:val="single" w:sz="4" w:space="0" w:color="auto"/>
            </w:tcBorders>
            <w:shd w:val="clear" w:color="auto" w:fill="D9D9D9"/>
            <w:hideMark/>
          </w:tcPr>
          <w:p w14:paraId="19F9C3D9" w:rsidR="006D7FB2" w:rsidRPr="006D7FB2" w:rsidRDefault="006D7FB2" w:rsidP="006D7FB2">
            <w:pPr>
              <w:spacing w:after="0" w:line="240" w:lineRule="auto"/>
              <w:jc w:val="center"/>
              <w:rPr>
                <w:rFonts w:ascii="Times New Roman" w:eastAsia="Calibri" w:hAnsi="Times New Roman" w:cs="Times New Roman"/>
                <w:b/>
                <w:bCs/>
                <w:sz w:val="20"/>
                <w:szCs w:val="20"/>
              </w:rPr>
            </w:pPr>
            <w:r w:rsidRPr="006D7FB2">
              <w:rPr>
                <w:rFonts w:ascii="Times New Roman" w:hAnsi="Times New Roman" w:eastAsia="Calibri" w:cs="Times New Roman"/>
                <w:b/>
                <w:bCs/>
                <w:sz w:val="20"/>
                <w:szCs w:val="20"/>
              </w:rPr>
              <w:t>Responsible Parties</w:t>
            </w:r>
          </w:p>
        </w:tc>
        <w:tc>
          <w:tcPr>
            <w:tcW w:w="1122" w:type="pct"/>
            <w:tcBorders>
              <w:top w:val="single" w:sz="4" w:space="0" w:color="auto"/>
              <w:left w:val="single" w:sz="4" w:space="0" w:color="auto"/>
              <w:bottom w:val="single" w:sz="4" w:space="0" w:color="auto"/>
              <w:right w:val="single" w:sz="4" w:space="0" w:color="auto"/>
            </w:tcBorders>
            <w:shd w:val="clear" w:color="auto" w:fill="D9D9D9"/>
            <w:hideMark/>
          </w:tcPr>
          <w:p w14:paraId="578F85B2" w:rsidR="006D7FB2" w:rsidRPr="006D7FB2" w:rsidRDefault="006D7FB2" w:rsidP="006D7FB2">
            <w:pPr>
              <w:spacing w:after="0" w:line="240" w:lineRule="auto"/>
              <w:jc w:val="center"/>
              <w:rPr>
                <w:rFonts w:ascii="Times New Roman" w:eastAsia="Calibri" w:hAnsi="Times New Roman" w:cs="Times New Roman"/>
                <w:b/>
                <w:bCs/>
                <w:sz w:val="20"/>
                <w:szCs w:val="20"/>
              </w:rPr>
            </w:pPr>
            <w:r w:rsidRPr="006D7FB2">
              <w:rPr>
                <w:rFonts w:ascii="Times New Roman" w:hAnsi="Times New Roman" w:eastAsia="Calibri" w:cs="Times New Roman"/>
                <w:b/>
                <w:bCs/>
                <w:sz w:val="20"/>
                <w:szCs w:val="20"/>
              </w:rPr>
              <w:t>Budget US$</w:t>
            </w:r>
          </w:p>
          <w:p w14:paraId="154289BA" w:rsidR="006D7FB2" w:rsidRPr="006D7FB2" w:rsidRDefault="006D7FB2" w:rsidP="006D7FB2">
            <w:pPr>
              <w:spacing w:after="0" w:line="240" w:lineRule="auto"/>
              <w:jc w:val="center"/>
              <w:rPr>
                <w:rFonts w:ascii="Times New Roman" w:eastAsia="Calibri" w:hAnsi="Times New Roman" w:cs="Times New Roman"/>
                <w:i/>
                <w:iCs/>
                <w:sz w:val="20"/>
                <w:szCs w:val="20"/>
              </w:rPr>
            </w:pPr>
            <w:r w:rsidRPr="006D7FB2">
              <w:rPr>
                <w:rFonts w:ascii="Times New Roman" w:hAnsi="Times New Roman" w:eastAsia="Calibri" w:cs="Times New Roman"/>
                <w:i/>
                <w:iCs/>
                <w:sz w:val="20"/>
                <w:szCs w:val="20"/>
              </w:rPr>
              <w:t>Excluding project team staff time</w:t>
            </w:r>
          </w:p>
        </w:tc>
        <w:tc>
          <w:tcPr>
            <w:tcW w:w="1069" w:type="pct"/>
            <w:tcBorders>
              <w:top w:val="single" w:sz="4" w:space="0" w:color="auto"/>
              <w:left w:val="single" w:sz="4" w:space="0" w:color="auto"/>
              <w:bottom w:val="single" w:sz="4" w:space="0" w:color="auto"/>
              <w:right w:val="single" w:sz="4" w:space="0" w:color="auto"/>
            </w:tcBorders>
            <w:shd w:val="clear" w:color="auto" w:fill="D9D9D9"/>
            <w:hideMark/>
          </w:tcPr>
          <w:p w14:paraId="03E2AB9F" w:rsidR="006D7FB2" w:rsidRPr="006D7FB2" w:rsidRDefault="006D7FB2" w:rsidP="006D7FB2">
            <w:pPr>
              <w:spacing w:after="0" w:line="240" w:lineRule="auto"/>
              <w:rPr>
                <w:rFonts w:ascii="Times New Roman" w:eastAsia="Calibri" w:hAnsi="Times New Roman" w:cs="Times New Roman"/>
                <w:b/>
                <w:bCs/>
                <w:sz w:val="20"/>
                <w:szCs w:val="20"/>
              </w:rPr>
            </w:pPr>
            <w:r w:rsidRPr="006D7FB2">
              <w:rPr>
                <w:rFonts w:ascii="Times New Roman" w:hAnsi="Times New Roman" w:eastAsia="Calibri" w:cs="Times New Roman"/>
                <w:b/>
                <w:bCs/>
                <w:sz w:val="20"/>
                <w:szCs w:val="20"/>
              </w:rPr>
              <w:t>Time frame</w:t>
            </w:r>
          </w:p>
        </w:tc>
      </w:tr>
      <w:tr w14:paraId="0ADECEAF"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vAlign w:val="center"/>
            <w:hideMark/>
          </w:tcPr>
          <w:p w14:paraId="35790EEE"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Inception Workshop </w:t>
            </w:r>
          </w:p>
        </w:tc>
        <w:tc>
          <w:tcPr>
            <w:tcW w:w="1669" w:type="pct"/>
            <w:tcBorders>
              <w:top w:val="single" w:sz="4" w:space="0" w:color="auto"/>
              <w:left w:val="single" w:sz="4" w:space="0" w:color="auto"/>
              <w:bottom w:val="single" w:sz="4" w:space="0" w:color="auto"/>
              <w:right w:val="single" w:sz="4" w:space="0" w:color="auto"/>
            </w:tcBorders>
            <w:vAlign w:val="center"/>
            <w:hideMark/>
          </w:tcPr>
          <w:p w14:paraId="59FB5DA6"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w:t>
            </w:r>
          </w:p>
          <w:p w14:paraId="57F9B693"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Sub-Regional Office</w:t>
            </w:r>
          </w:p>
          <w:p w14:paraId="675D9FF8"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GEF</w:t>
            </w:r>
          </w:p>
        </w:tc>
        <w:tc>
          <w:tcPr>
            <w:tcW w:w="1122" w:type="pct"/>
            <w:tcBorders>
              <w:top w:val="single" w:sz="4" w:space="0" w:color="auto"/>
              <w:left w:val="single" w:sz="4" w:space="0" w:color="auto"/>
              <w:bottom w:val="single" w:sz="4" w:space="0" w:color="auto"/>
              <w:right w:val="single" w:sz="4" w:space="0" w:color="auto"/>
            </w:tcBorders>
            <w:vAlign w:val="center"/>
            <w:hideMark/>
          </w:tcPr>
          <w:p w14:paraId="5CF58227" w:rsidR="006D7FB2" w:rsidRPr="006D7FB2" w:rsidRDefault="006D7FB2" w:rsidP="000967A4">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Indicative cost:  </w:t>
            </w:r>
            <w:r w:rsidR="000967A4">
              <w:rPr>
                <w:rFonts w:ascii="Times New Roman" w:hAnsi="Times New Roman" w:eastAsia="Calibri" w:cs="Times New Roman"/>
                <w:sz w:val="20"/>
                <w:szCs w:val="20"/>
              </w:rPr>
              <w:t>5</w:t>
            </w:r>
            <w:r w:rsidRPr="006D7FB2">
              <w:rPr>
                <w:rFonts w:ascii="Times New Roman" w:hAnsi="Times New Roman" w:eastAsia="Calibri" w:cs="Times New Roman"/>
                <w:sz w:val="20"/>
                <w:szCs w:val="20"/>
              </w:rPr>
              <w:t>,000</w:t>
            </w:r>
          </w:p>
        </w:tc>
        <w:tc>
          <w:tcPr>
            <w:tcW w:w="1069" w:type="pct"/>
            <w:tcBorders>
              <w:top w:val="single" w:sz="4" w:space="0" w:color="auto"/>
              <w:left w:val="single" w:sz="4" w:space="0" w:color="auto"/>
              <w:bottom w:val="single" w:sz="4" w:space="0" w:color="auto"/>
              <w:right w:val="single" w:sz="4" w:space="0" w:color="auto"/>
            </w:tcBorders>
            <w:hideMark/>
          </w:tcPr>
          <w:p w14:paraId="1A55DEC5"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Within first two months of project start-up </w:t>
            </w:r>
          </w:p>
        </w:tc>
      </w:tr>
      <w:tr w14:paraId="694FA489"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tcPr>
          <w:p w14:paraId="682F7C49"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Inception Report</w:t>
            </w:r>
          </w:p>
        </w:tc>
        <w:tc>
          <w:tcPr>
            <w:tcW w:w="1669" w:type="pct"/>
            <w:tcBorders>
              <w:top w:val="single" w:sz="4" w:space="0" w:color="auto"/>
              <w:left w:val="single" w:sz="4" w:space="0" w:color="auto"/>
              <w:bottom w:val="single" w:sz="4" w:space="0" w:color="auto"/>
              <w:right w:val="single" w:sz="4" w:space="0" w:color="auto"/>
            </w:tcBorders>
          </w:tcPr>
          <w:p w14:paraId="597006F9"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Team</w:t>
            </w:r>
          </w:p>
          <w:p w14:paraId="38916BAD"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Sub-Regional Office</w:t>
            </w:r>
          </w:p>
        </w:tc>
        <w:tc>
          <w:tcPr>
            <w:tcW w:w="1122" w:type="pct"/>
            <w:tcBorders>
              <w:top w:val="single" w:sz="4" w:space="0" w:color="auto"/>
              <w:left w:val="single" w:sz="4" w:space="0" w:color="auto"/>
              <w:bottom w:val="single" w:sz="4" w:space="0" w:color="auto"/>
              <w:right w:val="single" w:sz="4" w:space="0" w:color="auto"/>
            </w:tcBorders>
          </w:tcPr>
          <w:p w14:paraId="051A7518"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tcPr>
          <w:p w14:paraId="258E5714"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Immediately following IW (within 2 months after IW)</w:t>
            </w:r>
          </w:p>
        </w:tc>
      </w:tr>
      <w:tr w14:paraId="68576057"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tcPr>
          <w:p w14:paraId="13F5113D"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p>
          <w:p w14:paraId="6C0A40F6"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Measurement of Means of Verification of project results</w:t>
            </w:r>
          </w:p>
          <w:p w14:paraId="229D8980"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p>
        </w:tc>
        <w:tc>
          <w:tcPr>
            <w:tcW w:w="1669" w:type="pct"/>
            <w:tcBorders>
              <w:top w:val="single" w:sz="4" w:space="0" w:color="auto"/>
              <w:left w:val="single" w:sz="4" w:space="0" w:color="auto"/>
              <w:bottom w:val="single" w:sz="4" w:space="0" w:color="auto"/>
              <w:right w:val="single" w:sz="4" w:space="0" w:color="auto"/>
            </w:tcBorders>
          </w:tcPr>
          <w:p w14:paraId="475296E1"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 Project Coordinator (with support/advice from UNDP/GEF RTA) will oversee the hiring of specific studies and institutions, and delegate responsibilities to relevant team members</w:t>
            </w:r>
          </w:p>
        </w:tc>
        <w:tc>
          <w:tcPr>
            <w:tcW w:w="1122" w:type="pct"/>
            <w:tcBorders>
              <w:top w:val="single" w:sz="4" w:space="0" w:color="auto"/>
              <w:left w:val="single" w:sz="4" w:space="0" w:color="auto"/>
              <w:bottom w:val="single" w:sz="4" w:space="0" w:color="auto"/>
              <w:right w:val="single" w:sz="4" w:space="0" w:color="auto"/>
            </w:tcBorders>
          </w:tcPr>
          <w:p w14:paraId="72CBCE3F"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To be determined during the initial phase of implementation   of the project and the IW</w:t>
            </w:r>
          </w:p>
        </w:tc>
        <w:tc>
          <w:tcPr>
            <w:tcW w:w="1069" w:type="pct"/>
            <w:tcBorders>
              <w:top w:val="single" w:sz="4" w:space="0" w:color="auto"/>
              <w:left w:val="single" w:sz="4" w:space="0" w:color="auto"/>
              <w:bottom w:val="single" w:sz="4" w:space="0" w:color="auto"/>
              <w:right w:val="single" w:sz="4" w:space="0" w:color="auto"/>
            </w:tcBorders>
          </w:tcPr>
          <w:p w14:paraId="00746B5D"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Start, mid-point, and end of project</w:t>
            </w:r>
          </w:p>
        </w:tc>
      </w:tr>
      <w:tr w14:paraId="352F7820"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7F465C2A"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Measurement of Means of Verification for Project Progress on </w:t>
            </w:r>
            <w:r w:rsidRPr="006D7FB2">
              <w:rPr>
                <w:rFonts w:ascii="Times New Roman" w:hAnsi="Times New Roman" w:eastAsia="Calibri" w:cs="Times New Roman"/>
                <w:i/>
                <w:iCs/>
                <w:sz w:val="20"/>
                <w:szCs w:val="20"/>
              </w:rPr>
              <w:t>output and implementation</w:t>
            </w:r>
            <w:r w:rsidRPr="006D7FB2">
              <w:rPr>
                <w:rFonts w:ascii="Times New Roman" w:hAnsi="Times New Roman" w:eastAsia="Calibri" w:cs="Times New Roman"/>
                <w:sz w:val="20"/>
                <w:szCs w:val="20"/>
              </w:rPr>
              <w:t xml:space="preserve"> </w:t>
            </w:r>
          </w:p>
        </w:tc>
        <w:tc>
          <w:tcPr>
            <w:tcW w:w="1669" w:type="pct"/>
            <w:tcBorders>
              <w:top w:val="single" w:sz="4" w:space="0" w:color="auto"/>
              <w:left w:val="single" w:sz="4" w:space="0" w:color="auto"/>
              <w:bottom w:val="single" w:sz="4" w:space="0" w:color="auto"/>
              <w:right w:val="single" w:sz="4" w:space="0" w:color="auto"/>
            </w:tcBorders>
            <w:hideMark/>
          </w:tcPr>
          <w:p w14:paraId="619FA07F"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Oversight by Project Coordinator </w:t>
            </w:r>
          </w:p>
          <w:p w14:paraId="02861DFD"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Project team </w:t>
            </w:r>
          </w:p>
        </w:tc>
        <w:tc>
          <w:tcPr>
            <w:tcW w:w="1122" w:type="pct"/>
            <w:tcBorders>
              <w:top w:val="single" w:sz="4" w:space="0" w:color="auto"/>
              <w:left w:val="single" w:sz="4" w:space="0" w:color="auto"/>
              <w:bottom w:val="single" w:sz="4" w:space="0" w:color="auto"/>
              <w:right w:val="single" w:sz="4" w:space="0" w:color="auto"/>
            </w:tcBorders>
            <w:hideMark/>
          </w:tcPr>
          <w:p w14:paraId="1158FD8A"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hideMark/>
          </w:tcPr>
          <w:p w14:paraId="72DE74F2"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Annually prior to ARR/PIR and to the definition of annual work plans </w:t>
            </w:r>
          </w:p>
        </w:tc>
      </w:tr>
      <w:tr w14:paraId="3885BC3C"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14554BF4"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ARR/PIR</w:t>
            </w:r>
          </w:p>
        </w:tc>
        <w:tc>
          <w:tcPr>
            <w:tcW w:w="1669" w:type="pct"/>
            <w:tcBorders>
              <w:top w:val="single" w:sz="4" w:space="0" w:color="auto"/>
              <w:left w:val="single" w:sz="4" w:space="0" w:color="auto"/>
              <w:bottom w:val="single" w:sz="4" w:space="0" w:color="auto"/>
              <w:right w:val="single" w:sz="4" w:space="0" w:color="auto"/>
            </w:tcBorders>
            <w:hideMark/>
          </w:tcPr>
          <w:p w14:paraId="3A51B964"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p w14:paraId="3AA1781C"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Sub-Regional Office</w:t>
            </w:r>
          </w:p>
          <w:p w14:paraId="3C27CEC0"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GEF</w:t>
            </w:r>
          </w:p>
        </w:tc>
        <w:tc>
          <w:tcPr>
            <w:tcW w:w="1122" w:type="pct"/>
            <w:tcBorders>
              <w:top w:val="single" w:sz="4" w:space="0" w:color="auto"/>
              <w:left w:val="single" w:sz="4" w:space="0" w:color="auto"/>
              <w:bottom w:val="single" w:sz="4" w:space="0" w:color="auto"/>
              <w:right w:val="single" w:sz="4" w:space="0" w:color="auto"/>
            </w:tcBorders>
            <w:hideMark/>
          </w:tcPr>
          <w:p w14:paraId="304CE841"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hideMark/>
          </w:tcPr>
          <w:p w14:paraId="730223AF"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Annually </w:t>
            </w:r>
          </w:p>
        </w:tc>
      </w:tr>
      <w:tr w14:paraId="24257417"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02F4A027"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Periodic status/ progress reports</w:t>
            </w:r>
          </w:p>
        </w:tc>
        <w:tc>
          <w:tcPr>
            <w:tcW w:w="1669" w:type="pct"/>
            <w:tcBorders>
              <w:top w:val="single" w:sz="4" w:space="0" w:color="auto"/>
              <w:left w:val="single" w:sz="4" w:space="0" w:color="auto"/>
              <w:bottom w:val="single" w:sz="4" w:space="0" w:color="auto"/>
              <w:right w:val="single" w:sz="4" w:space="0" w:color="auto"/>
            </w:tcBorders>
            <w:hideMark/>
          </w:tcPr>
          <w:p w14:paraId="69DD770F"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tc>
        <w:tc>
          <w:tcPr>
            <w:tcW w:w="1122" w:type="pct"/>
            <w:tcBorders>
              <w:top w:val="single" w:sz="4" w:space="0" w:color="auto"/>
              <w:left w:val="single" w:sz="4" w:space="0" w:color="auto"/>
              <w:bottom w:val="single" w:sz="4" w:space="0" w:color="auto"/>
              <w:right w:val="single" w:sz="4" w:space="0" w:color="auto"/>
            </w:tcBorders>
            <w:hideMark/>
          </w:tcPr>
          <w:p w14:paraId="2025604E"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hideMark/>
          </w:tcPr>
          <w:p w14:paraId="1D9B2F93"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Quarterly</w:t>
            </w:r>
          </w:p>
        </w:tc>
      </w:tr>
      <w:tr w14:paraId="27CAD1C7"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770FECEE"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Tripartite Committee</w:t>
            </w:r>
          </w:p>
          <w:p w14:paraId="4B65830E"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Reviews and Reports</w:t>
            </w:r>
          </w:p>
        </w:tc>
        <w:tc>
          <w:tcPr>
            <w:tcW w:w="1669" w:type="pct"/>
            <w:tcBorders>
              <w:top w:val="single" w:sz="4" w:space="0" w:color="auto"/>
              <w:left w:val="single" w:sz="4" w:space="0" w:color="auto"/>
              <w:bottom w:val="single" w:sz="4" w:space="0" w:color="auto"/>
              <w:right w:val="single" w:sz="4" w:space="0" w:color="auto"/>
            </w:tcBorders>
            <w:hideMark/>
          </w:tcPr>
          <w:p w14:paraId="18314DC4"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GoG counterparts</w:t>
            </w:r>
          </w:p>
          <w:p w14:paraId="4CB245AE"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UNDP/GEF</w:t>
            </w:r>
          </w:p>
        </w:tc>
        <w:tc>
          <w:tcPr>
            <w:tcW w:w="1122" w:type="pct"/>
            <w:tcBorders>
              <w:top w:val="single" w:sz="4" w:space="0" w:color="auto"/>
              <w:left w:val="single" w:sz="4" w:space="0" w:color="auto"/>
              <w:bottom w:val="single" w:sz="4" w:space="0" w:color="auto"/>
              <w:right w:val="single" w:sz="4" w:space="0" w:color="auto"/>
            </w:tcBorders>
            <w:hideMark/>
          </w:tcPr>
          <w:p w14:paraId="1821104F"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hideMark/>
          </w:tcPr>
          <w:p w14:paraId="502E3B11" w:rsidR="006D7FB2" w:rsidRPr="006D7FB2" w:rsidRDefault="006D7FB2" w:rsidP="006D7FB2">
            <w:pPr>
              <w:widowControl w:val="0"/>
              <w:kinsoku w:val="0"/>
              <w:overflowPunct w:val="0"/>
              <w:autoSpaceDE w:val="0"/>
              <w:autoSpaceDN w:val="0"/>
              <w:adjustRightInd w:val="0"/>
              <w:spacing w:after="0" w:line="204" w:lineRule="exact"/>
              <w:textAlignment w:val="baseline"/>
              <w:rPr>
                <w:rFonts w:ascii="Times New Roman" w:hAnsi="Times New Roman" w:cs="Times New Roman"/>
                <w:sz w:val="20"/>
                <w:szCs w:val="20"/>
              </w:rPr>
            </w:pPr>
            <w:r w:rsidRPr="006D7FB2">
              <w:rPr>
                <w:rFonts w:ascii="Times New Roman" w:hAnsi="Times New Roman" w:cs="Times New Roman"/>
                <w:sz w:val="20"/>
                <w:szCs w:val="20"/>
              </w:rPr>
              <w:t>Annually, upon</w:t>
            </w:r>
          </w:p>
          <w:p w14:paraId="037A301B" w:rsidR="006D7FB2" w:rsidRPr="006D7FB2" w:rsidRDefault="006D7FB2" w:rsidP="006D7FB2">
            <w:pPr>
              <w:widowControl w:val="0"/>
              <w:kinsoku w:val="0"/>
              <w:overflowPunct w:val="0"/>
              <w:autoSpaceDE w:val="0"/>
              <w:autoSpaceDN w:val="0"/>
              <w:adjustRightInd w:val="0"/>
              <w:spacing w:after="0" w:line="216" w:lineRule="exact"/>
              <w:textAlignment w:val="baseline"/>
              <w:rPr>
                <w:rFonts w:ascii="Times New Roman" w:hAnsi="Times New Roman" w:cs="Times New Roman"/>
                <w:sz w:val="20"/>
                <w:szCs w:val="20"/>
              </w:rPr>
            </w:pPr>
            <w:r w:rsidRPr="006D7FB2">
              <w:rPr>
                <w:rFonts w:ascii="Times New Roman" w:hAnsi="Times New Roman" w:cs="Times New Roman"/>
                <w:sz w:val="20"/>
                <w:szCs w:val="20"/>
              </w:rPr>
              <w:t>receipt of APR/PIR</w:t>
            </w:r>
          </w:p>
          <w:p w14:paraId="54823EAA"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p>
        </w:tc>
      </w:tr>
      <w:tr w14:paraId="2CB91414"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75EE0AE0" w:rsidR="006D7FB2" w:rsidRPr="006D7FB2" w:rsidRDefault="006D7FB2" w:rsidP="006D7FB2">
            <w:pPr>
              <w:widowControl w:val="0"/>
              <w:kinsoku w:val="0"/>
              <w:overflowPunct w:val="0"/>
              <w:autoSpaceDE w:val="0"/>
              <w:autoSpaceDN w:val="0"/>
              <w:adjustRightInd w:val="0"/>
              <w:spacing w:after="0" w:line="240" w:lineRule="auto"/>
              <w:ind w:right="-54"/>
              <w:textAlignment w:val="baseline"/>
              <w:rPr>
                <w:rFonts w:ascii="Times New Roman" w:hAnsi="Times New Roman" w:cs="Times New Roman"/>
                <w:sz w:val="20"/>
                <w:szCs w:val="20"/>
              </w:rPr>
            </w:pPr>
            <w:r w:rsidRPr="006D7FB2">
              <w:rPr>
                <w:rFonts w:ascii="Times New Roman" w:hAnsi="Times New Roman" w:cs="Times New Roman"/>
                <w:sz w:val="20"/>
                <w:szCs w:val="20"/>
              </w:rPr>
              <w:t>Steering Committee/Board</w:t>
            </w:r>
          </w:p>
          <w:p w14:paraId="642DB34A"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Meetings</w:t>
            </w:r>
          </w:p>
        </w:tc>
        <w:tc>
          <w:tcPr>
            <w:tcW w:w="1669" w:type="pct"/>
            <w:tcBorders>
              <w:top w:val="single" w:sz="4" w:space="0" w:color="auto"/>
              <w:left w:val="single" w:sz="4" w:space="0" w:color="auto"/>
              <w:bottom w:val="single" w:sz="4" w:space="0" w:color="auto"/>
              <w:right w:val="single" w:sz="4" w:space="0" w:color="auto"/>
            </w:tcBorders>
            <w:hideMark/>
          </w:tcPr>
          <w:p w14:paraId="2FFA70D0"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w:t>
            </w:r>
          </w:p>
          <w:p w14:paraId="52A72CF7"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UNCP-Sub-Regional Office</w:t>
            </w:r>
          </w:p>
          <w:p w14:paraId="64C3B772" w:rsidR="006D7FB2" w:rsidRPr="006D7FB2" w:rsidRDefault="006D7FB2" w:rsidP="00CA416F">
            <w:pPr>
              <w:widowControl w:val="0"/>
              <w:numPr>
                <w:ilvl w:val="0"/>
                <w:numId w:val="69"/>
              </w:numPr>
              <w:kinsoku w:val="0"/>
              <w:overflowPunct w:val="0"/>
              <w:spacing w:after="0" w:line="240" w:lineRule="auto"/>
              <w:contextualSpacing/>
              <w:textAlignment w:val="baseline"/>
              <w:rPr>
                <w:rFonts w:ascii="Times New Roman" w:hAnsi="Times New Roman" w:cs="Times New Roman"/>
                <w:sz w:val="20"/>
                <w:szCs w:val="20"/>
              </w:rPr>
            </w:pPr>
            <w:r w:rsidRPr="006D7FB2">
              <w:rPr>
                <w:rFonts w:ascii="Times New Roman" w:hAnsi="Times New Roman" w:eastAsia="Calibri" w:cs="Times New Roman"/>
                <w:sz w:val="20"/>
                <w:szCs w:val="20"/>
              </w:rPr>
              <w:t>GoG representatives</w:t>
            </w:r>
          </w:p>
          <w:p w14:paraId="14CE1E5D"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p>
        </w:tc>
        <w:tc>
          <w:tcPr>
            <w:tcW w:w="1122" w:type="pct"/>
            <w:tcBorders>
              <w:top w:val="single" w:sz="4" w:space="0" w:color="auto"/>
              <w:left w:val="single" w:sz="4" w:space="0" w:color="auto"/>
              <w:bottom w:val="single" w:sz="4" w:space="0" w:color="auto"/>
              <w:right w:val="single" w:sz="4" w:space="0" w:color="auto"/>
            </w:tcBorders>
            <w:hideMark/>
          </w:tcPr>
          <w:p w14:paraId="4EB3337E"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2,500 (GEF)</w:t>
            </w:r>
          </w:p>
          <w:p w14:paraId="0B987284"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3,000 (CoF)</w:t>
            </w:r>
          </w:p>
        </w:tc>
        <w:tc>
          <w:tcPr>
            <w:tcW w:w="1069" w:type="pct"/>
            <w:tcBorders>
              <w:top w:val="single" w:sz="4" w:space="0" w:color="auto"/>
              <w:left w:val="single" w:sz="4" w:space="0" w:color="auto"/>
              <w:bottom w:val="single" w:sz="4" w:space="0" w:color="auto"/>
              <w:right w:val="single" w:sz="4" w:space="0" w:color="auto"/>
            </w:tcBorders>
            <w:hideMark/>
          </w:tcPr>
          <w:p w14:paraId="53D96E6E" w:rsidR="006D7FB2" w:rsidRPr="006D7FB2" w:rsidRDefault="006D7FB2" w:rsidP="006D7FB2">
            <w:pPr>
              <w:widowControl w:val="0"/>
              <w:kinsoku w:val="0"/>
              <w:overflowPunct w:val="0"/>
              <w:spacing w:after="0" w:line="240" w:lineRule="auto"/>
              <w:textAlignment w:val="baseline"/>
              <w:rPr>
                <w:rFonts w:ascii="Times New Roman" w:hAnsi="Times New Roman" w:cs="Times New Roman"/>
                <w:sz w:val="20"/>
                <w:szCs w:val="20"/>
              </w:rPr>
            </w:pPr>
            <w:r w:rsidRPr="006D7FB2">
              <w:rPr>
                <w:rFonts w:ascii="Times New Roman" w:hAnsi="Times New Roman" w:cs="Times New Roman"/>
                <w:sz w:val="20"/>
                <w:szCs w:val="20"/>
              </w:rPr>
              <w:t>Following IW, and subsequently at least twice per year</w:t>
            </w:r>
          </w:p>
        </w:tc>
      </w:tr>
      <w:tr w14:paraId="57753FA9"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46A0B909"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Mid-term Review, including update of METT and ESSP</w:t>
            </w:r>
          </w:p>
        </w:tc>
        <w:tc>
          <w:tcPr>
            <w:tcW w:w="1669" w:type="pct"/>
            <w:tcBorders>
              <w:top w:val="single" w:sz="4" w:space="0" w:color="auto"/>
              <w:left w:val="single" w:sz="4" w:space="0" w:color="auto"/>
              <w:bottom w:val="single" w:sz="4" w:space="0" w:color="auto"/>
              <w:right w:val="single" w:sz="4" w:space="0" w:color="auto"/>
            </w:tcBorders>
            <w:hideMark/>
          </w:tcPr>
          <w:p w14:paraId="747F2B05"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p w14:paraId="246FC5EB"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UNDP-Sub-Regional Office</w:t>
            </w:r>
          </w:p>
          <w:p w14:paraId="060092D1"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UNDP/GEF RCU</w:t>
            </w:r>
          </w:p>
          <w:p w14:paraId="2EFDEB25"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External Consultants (evaluation team)</w:t>
            </w:r>
          </w:p>
        </w:tc>
        <w:tc>
          <w:tcPr>
            <w:tcW w:w="1122" w:type="pct"/>
            <w:tcBorders>
              <w:top w:val="single" w:sz="4" w:space="0" w:color="auto"/>
              <w:left w:val="single" w:sz="4" w:space="0" w:color="auto"/>
              <w:bottom w:val="single" w:sz="4" w:space="0" w:color="auto"/>
              <w:right w:val="single" w:sz="4" w:space="0" w:color="auto"/>
            </w:tcBorders>
            <w:hideMark/>
          </w:tcPr>
          <w:p w14:paraId="2D8E042D" w:rsidR="006D7FB2" w:rsidRPr="006D7FB2" w:rsidRDefault="006D7FB2" w:rsidP="000967A4">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Indicative cost:   </w:t>
            </w:r>
            <w:r w:rsidR="000967A4">
              <w:rPr>
                <w:rFonts w:ascii="Times New Roman" w:hAnsi="Times New Roman" w:eastAsia="Calibri" w:cs="Times New Roman"/>
                <w:sz w:val="20"/>
                <w:szCs w:val="20"/>
              </w:rPr>
              <w:t>32,468</w:t>
            </w:r>
          </w:p>
        </w:tc>
        <w:tc>
          <w:tcPr>
            <w:tcW w:w="1069" w:type="pct"/>
            <w:tcBorders>
              <w:top w:val="single" w:sz="4" w:space="0" w:color="auto"/>
              <w:left w:val="single" w:sz="4" w:space="0" w:color="auto"/>
              <w:bottom w:val="single" w:sz="4" w:space="0" w:color="auto"/>
              <w:right w:val="single" w:sz="4" w:space="0" w:color="auto"/>
            </w:tcBorders>
            <w:hideMark/>
          </w:tcPr>
          <w:p w14:paraId="1D483839"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At the mid-point of project implementation. </w:t>
            </w:r>
          </w:p>
        </w:tc>
      </w:tr>
      <w:tr w14:paraId="0844836C"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12185168"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Final Evaluation, including final METT and ESSP</w:t>
            </w:r>
          </w:p>
        </w:tc>
        <w:tc>
          <w:tcPr>
            <w:tcW w:w="1669" w:type="pct"/>
            <w:tcBorders>
              <w:top w:val="single" w:sz="4" w:space="0" w:color="auto"/>
              <w:left w:val="single" w:sz="4" w:space="0" w:color="auto"/>
              <w:bottom w:val="single" w:sz="4" w:space="0" w:color="auto"/>
              <w:right w:val="single" w:sz="4" w:space="0" w:color="auto"/>
            </w:tcBorders>
            <w:hideMark/>
          </w:tcPr>
          <w:p w14:paraId="0168E2FD"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p w14:paraId="6562C030"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UNDP-Sub-Regional Office</w:t>
            </w:r>
          </w:p>
          <w:p w14:paraId="2A179A2D"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UNDP/GEF RCU</w:t>
            </w:r>
          </w:p>
          <w:p w14:paraId="4BE4E0A8"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External Consultants (evaluation team)</w:t>
            </w:r>
          </w:p>
        </w:tc>
        <w:tc>
          <w:tcPr>
            <w:tcW w:w="1122" w:type="pct"/>
            <w:tcBorders>
              <w:top w:val="single" w:sz="4" w:space="0" w:color="auto"/>
              <w:left w:val="single" w:sz="4" w:space="0" w:color="auto"/>
              <w:bottom w:val="single" w:sz="4" w:space="0" w:color="auto"/>
              <w:right w:val="single" w:sz="4" w:space="0" w:color="auto"/>
            </w:tcBorders>
            <w:hideMark/>
          </w:tcPr>
          <w:p w14:paraId="050259ED" w:rsidR="006D7FB2" w:rsidRPr="006D7FB2" w:rsidRDefault="006D7FB2" w:rsidP="000967A4">
            <w:pPr>
              <w:widowControl w:val="0"/>
              <w:numPr>
                <w:ilvl w:val="0"/>
                <w:numId w:val="69"/>
              </w:numPr>
              <w:tabs>
                <w:tab w:val="center" w:pos="1216"/>
              </w:tabs>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Indicative cost :  40,</w:t>
            </w:r>
            <w:r w:rsidR="000967A4">
              <w:rPr>
                <w:rFonts w:ascii="Times New Roman" w:hAnsi="Times New Roman" w:eastAsia="Calibri" w:cs="Times New Roman"/>
                <w:sz w:val="20"/>
                <w:szCs w:val="20"/>
              </w:rPr>
              <w:t>468</w:t>
            </w:r>
            <w:r w:rsidRPr="006D7FB2">
              <w:rPr>
                <w:rFonts w:ascii="Times New Roman" w:hAnsi="Times New Roman" w:eastAsia="Calibri" w:cs="Times New Roman"/>
                <w:sz w:val="20"/>
                <w:szCs w:val="20"/>
              </w:rPr>
              <w:tab/>
            </w:r>
          </w:p>
        </w:tc>
        <w:tc>
          <w:tcPr>
            <w:tcW w:w="1069" w:type="pct"/>
            <w:tcBorders>
              <w:top w:val="single" w:sz="4" w:space="0" w:color="auto"/>
              <w:left w:val="single" w:sz="4" w:space="0" w:color="auto"/>
              <w:bottom w:val="single" w:sz="4" w:space="0" w:color="auto"/>
              <w:right w:val="single" w:sz="4" w:space="0" w:color="auto"/>
            </w:tcBorders>
            <w:hideMark/>
          </w:tcPr>
          <w:p w14:paraId="1F87C51A"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At least three months before the end of project implementation</w:t>
            </w:r>
          </w:p>
        </w:tc>
      </w:tr>
      <w:tr w14:paraId="7BBBE150"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350EE84E"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Terminal Report</w:t>
            </w:r>
          </w:p>
        </w:tc>
        <w:tc>
          <w:tcPr>
            <w:tcW w:w="1669" w:type="pct"/>
            <w:tcBorders>
              <w:top w:val="single" w:sz="4" w:space="0" w:color="auto"/>
              <w:left w:val="single" w:sz="4" w:space="0" w:color="auto"/>
              <w:bottom w:val="single" w:sz="4" w:space="0" w:color="auto"/>
              <w:right w:val="single" w:sz="4" w:space="0" w:color="auto"/>
            </w:tcBorders>
            <w:vAlign w:val="center"/>
            <w:hideMark/>
          </w:tcPr>
          <w:p w14:paraId="1CFE2A5C"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Team</w:t>
            </w:r>
          </w:p>
          <w:p w14:paraId="3294167C"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UNDP-Sub-Regional Office</w:t>
            </w:r>
          </w:p>
        </w:tc>
        <w:tc>
          <w:tcPr>
            <w:tcW w:w="1122" w:type="pct"/>
            <w:tcBorders>
              <w:top w:val="single" w:sz="4" w:space="0" w:color="auto"/>
              <w:left w:val="single" w:sz="4" w:space="0" w:color="auto"/>
              <w:bottom w:val="single" w:sz="4" w:space="0" w:color="auto"/>
              <w:right w:val="single" w:sz="4" w:space="0" w:color="auto"/>
            </w:tcBorders>
            <w:vAlign w:val="center"/>
            <w:hideMark/>
          </w:tcPr>
          <w:p w14:paraId="497E9030"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None</w:t>
            </w:r>
          </w:p>
        </w:tc>
        <w:tc>
          <w:tcPr>
            <w:tcW w:w="1069" w:type="pct"/>
            <w:tcBorders>
              <w:top w:val="single" w:sz="4" w:space="0" w:color="auto"/>
              <w:left w:val="single" w:sz="4" w:space="0" w:color="auto"/>
              <w:bottom w:val="single" w:sz="4" w:space="0" w:color="auto"/>
              <w:right w:val="single" w:sz="4" w:space="0" w:color="auto"/>
            </w:tcBorders>
            <w:hideMark/>
          </w:tcPr>
          <w:p w14:paraId="3257E2EB"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At least three months before the end of the project</w:t>
            </w:r>
          </w:p>
        </w:tc>
      </w:tr>
      <w:tr w14:paraId="0DDECD6F"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tcPr>
          <w:p w14:paraId="1E5C3648" w:rsidR="006D7FB2" w:rsidRPr="006D7FB2" w:rsidRDefault="006D7FB2" w:rsidP="006D7FB2">
            <w:pPr>
              <w:spacing w:after="0" w:line="240" w:lineRule="auto"/>
              <w:rPr>
                <w:rFonts w:ascii="Times New Roman" w:eastAsia="Calibri" w:hAnsi="Times New Roman" w:cs="Times New Roman"/>
                <w:sz w:val="20"/>
                <w:szCs w:val="20"/>
              </w:rPr>
            </w:pPr>
          </w:p>
          <w:p w14:paraId="0BCCA828" w:rsidR="006D7FB2" w:rsidRPr="006D7FB2" w:rsidRDefault="006D7FB2" w:rsidP="006D7FB2">
            <w:pPr>
              <w:widowControl w:val="0"/>
              <w:kinsoku w:val="0"/>
              <w:overflowPunct w:val="0"/>
              <w:autoSpaceDE w:val="0"/>
              <w:autoSpaceDN w:val="0"/>
              <w:adjustRightInd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Lessons learned</w:t>
            </w:r>
          </w:p>
          <w:p w14:paraId="1E674113" w:rsidR="006D7FB2" w:rsidRPr="006D7FB2" w:rsidRDefault="006D7FB2" w:rsidP="006D7FB2">
            <w:pPr>
              <w:widowControl w:val="0"/>
              <w:kinsoku w:val="0"/>
              <w:overflowPunct w:val="0"/>
              <w:autoSpaceDE w:val="0"/>
              <w:autoSpaceDN w:val="0"/>
              <w:adjustRightInd w:val="0"/>
              <w:spacing w:before="20" w:after="0" w:line="200" w:lineRule="exact"/>
              <w:ind w:left="185"/>
              <w:textAlignment w:val="baseline"/>
              <w:rPr>
                <w:rFonts w:ascii="Times New Roman" w:eastAsia="Calibri" w:hAnsi="Times New Roman" w:cs="Times New Roman"/>
                <w:sz w:val="20"/>
                <w:szCs w:val="20"/>
              </w:rPr>
            </w:pPr>
          </w:p>
        </w:tc>
        <w:tc>
          <w:tcPr>
            <w:tcW w:w="1669" w:type="pct"/>
            <w:tcBorders>
              <w:top w:val="single" w:sz="4" w:space="0" w:color="auto"/>
              <w:left w:val="single" w:sz="4" w:space="0" w:color="auto"/>
              <w:bottom w:val="single" w:sz="4" w:space="0" w:color="auto"/>
              <w:right w:val="single" w:sz="4" w:space="0" w:color="auto"/>
            </w:tcBorders>
          </w:tcPr>
          <w:p w14:paraId="56240619" w:rsidR="006D7FB2" w:rsidRPr="006D7FB2" w:rsidRDefault="006D7FB2" w:rsidP="006D7FB2">
            <w:pPr>
              <w:widowControl w:val="0"/>
              <w:kinsoku w:val="0"/>
              <w:overflowPunct w:val="0"/>
              <w:autoSpaceDE w:val="0"/>
              <w:autoSpaceDN w:val="0"/>
              <w:adjustRightInd w:val="0"/>
              <w:spacing w:before="34" w:after="0" w:line="240" w:lineRule="auto"/>
              <w:ind w:left="180" w:right="-50"/>
              <w:textAlignment w:val="baseline"/>
              <w:rPr>
                <w:rFonts w:ascii="Times New Roman" w:hAnsi="Times New Roman" w:cs="Times New Roman"/>
                <w:sz w:val="20"/>
                <w:szCs w:val="20"/>
              </w:rPr>
            </w:pPr>
          </w:p>
          <w:p w14:paraId="0AA7074C"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p w14:paraId="6980A1C8"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hAnsi="Times New Roman" w:cs="Times New Roman"/>
                <w:sz w:val="20"/>
                <w:szCs w:val="20"/>
              </w:rPr>
            </w:pPr>
            <w:r w:rsidRPr="006D7FB2">
              <w:rPr>
                <w:rFonts w:ascii="Times New Roman" w:hAnsi="Times New Roman" w:eastAsia="Calibri" w:cs="Times New Roman"/>
                <w:sz w:val="20"/>
                <w:szCs w:val="20"/>
              </w:rPr>
              <w:t>UNDP-GEF RCU (suggested formats for documenting best practices,</w:t>
            </w:r>
            <w:r w:rsidRPr="006D7FB2">
              <w:rPr>
                <w:rFonts w:ascii="Times New Roman" w:hAnsi="Times New Roman" w:cs="Times New Roman"/>
                <w:sz w:val="20"/>
                <w:szCs w:val="20"/>
              </w:rPr>
              <w:t xml:space="preserve"> etc.)</w:t>
            </w:r>
          </w:p>
          <w:p w14:paraId="4B8930CE" w:rsidR="006D7FB2" w:rsidRPr="006D7FB2" w:rsidRDefault="006D7FB2" w:rsidP="006D7FB2">
            <w:pPr>
              <w:widowControl w:val="0"/>
              <w:kinsoku w:val="0"/>
              <w:overflowPunct w:val="0"/>
              <w:autoSpaceDE w:val="0"/>
              <w:autoSpaceDN w:val="0"/>
              <w:adjustRightInd w:val="0"/>
              <w:spacing w:before="34" w:after="0" w:line="240" w:lineRule="auto"/>
              <w:ind w:left="180" w:right="-50"/>
              <w:textAlignment w:val="baseline"/>
              <w:rPr>
                <w:rFonts w:ascii="Times New Roman" w:hAnsi="Times New Roman" w:cs="Times New Roman"/>
                <w:sz w:val="20"/>
                <w:szCs w:val="20"/>
              </w:rPr>
            </w:pPr>
          </w:p>
        </w:tc>
        <w:tc>
          <w:tcPr>
            <w:tcW w:w="1122" w:type="pct"/>
            <w:tcBorders>
              <w:top w:val="single" w:sz="4" w:space="0" w:color="auto"/>
              <w:left w:val="single" w:sz="4" w:space="0" w:color="auto"/>
              <w:bottom w:val="single" w:sz="4" w:space="0" w:color="auto"/>
              <w:right w:val="single" w:sz="4" w:space="0" w:color="auto"/>
            </w:tcBorders>
          </w:tcPr>
          <w:p w14:paraId="5E340552" w:rsidR="006D7FB2" w:rsidRPr="006D7FB2" w:rsidRDefault="006D7FB2" w:rsidP="006D7FB2">
            <w:pPr>
              <w:widowControl w:val="0"/>
              <w:kinsoku w:val="0"/>
              <w:overflowPunct w:val="0"/>
              <w:autoSpaceDE w:val="0"/>
              <w:autoSpaceDN w:val="0"/>
              <w:adjustRightInd w:val="0"/>
              <w:spacing w:after="0" w:line="212" w:lineRule="exact"/>
              <w:ind w:left="167" w:firstLine="200"/>
              <w:jc w:val="center"/>
              <w:textAlignment w:val="baseline"/>
              <w:rPr>
                <w:rFonts w:ascii="Times New Roman" w:hAnsi="Times New Roman" w:cs="Times New Roman"/>
                <w:sz w:val="20"/>
                <w:szCs w:val="20"/>
              </w:rPr>
            </w:pPr>
          </w:p>
          <w:p w14:paraId="55724098"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5,000 (GEF)</w:t>
            </w:r>
          </w:p>
          <w:p w14:paraId="775C2DA2"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4,000 (CoF)</w:t>
            </w:r>
          </w:p>
          <w:p w14:paraId="160408A1"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Indicative Cost     Cost:US$9,000</w:t>
            </w:r>
          </w:p>
          <w:p w14:paraId="48B020A4" w:rsidR="006D7FB2" w:rsidRPr="006D7FB2" w:rsidRDefault="006D7FB2" w:rsidP="006D7FB2">
            <w:pPr>
              <w:widowControl w:val="0"/>
              <w:kinsoku w:val="0"/>
              <w:overflowPunct w:val="0"/>
              <w:autoSpaceDE w:val="0"/>
              <w:autoSpaceDN w:val="0"/>
              <w:adjustRightInd w:val="0"/>
              <w:spacing w:after="0" w:line="212" w:lineRule="exact"/>
              <w:ind w:left="167" w:firstLine="200"/>
              <w:jc w:val="center"/>
              <w:textAlignment w:val="baseline"/>
              <w:rPr>
                <w:rFonts w:ascii="Times New Roman" w:hAnsi="Times New Roman" w:cs="Times New Roman"/>
                <w:sz w:val="20"/>
                <w:szCs w:val="20"/>
              </w:rPr>
            </w:pPr>
          </w:p>
        </w:tc>
        <w:tc>
          <w:tcPr>
            <w:tcW w:w="1069" w:type="pct"/>
            <w:tcBorders>
              <w:top w:val="single" w:sz="4" w:space="0" w:color="auto"/>
              <w:left w:val="single" w:sz="4" w:space="0" w:color="auto"/>
              <w:bottom w:val="single" w:sz="4" w:space="0" w:color="auto"/>
              <w:right w:val="single" w:sz="4" w:space="0" w:color="auto"/>
            </w:tcBorders>
          </w:tcPr>
          <w:p w14:paraId="56FA7689" w:rsidR="006D7FB2" w:rsidRPr="006D7FB2" w:rsidRDefault="006D7FB2" w:rsidP="006D7FB2">
            <w:pPr>
              <w:widowControl w:val="0"/>
              <w:kinsoku w:val="0"/>
              <w:overflowPunct w:val="0"/>
              <w:autoSpaceDE w:val="0"/>
              <w:autoSpaceDN w:val="0"/>
              <w:adjustRightInd w:val="0"/>
              <w:spacing w:before="39" w:after="0" w:line="216" w:lineRule="exact"/>
              <w:ind w:left="180" w:right="5"/>
              <w:textAlignment w:val="baseline"/>
              <w:rPr>
                <w:rFonts w:ascii="Times New Roman" w:hAnsi="Times New Roman" w:cs="Times New Roman"/>
                <w:sz w:val="20"/>
                <w:szCs w:val="20"/>
              </w:rPr>
            </w:pPr>
          </w:p>
          <w:p w14:paraId="334BA6C1" w:rsidR="006D7FB2" w:rsidRPr="006D7FB2" w:rsidRDefault="006D7FB2" w:rsidP="006D7FB2">
            <w:pPr>
              <w:widowControl w:val="0"/>
              <w:kinsoku w:val="0"/>
              <w:overflowPunct w:val="0"/>
              <w:autoSpaceDE w:val="0"/>
              <w:autoSpaceDN w:val="0"/>
              <w:adjustRightInd w:val="0"/>
              <w:spacing w:before="39" w:after="0" w:line="216" w:lineRule="exact"/>
              <w:ind w:left="180" w:right="5"/>
              <w:textAlignment w:val="baseline"/>
              <w:rPr>
                <w:rFonts w:ascii="Times New Roman" w:hAnsi="Times New Roman" w:cs="Times New Roman"/>
                <w:sz w:val="20"/>
                <w:szCs w:val="20"/>
              </w:rPr>
            </w:pPr>
            <w:r w:rsidRPr="006D7FB2">
              <w:rPr>
                <w:rFonts w:ascii="Times New Roman" w:hAnsi="Times New Roman" w:cs="Times New Roman"/>
                <w:sz w:val="20"/>
                <w:szCs w:val="20"/>
              </w:rPr>
              <w:t xml:space="preserve">Yearly </w:t>
            </w:r>
          </w:p>
        </w:tc>
      </w:tr>
      <w:tr w14:paraId="52A02703"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4564F03D"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Audit </w:t>
            </w:r>
          </w:p>
        </w:tc>
        <w:tc>
          <w:tcPr>
            <w:tcW w:w="1669" w:type="pct"/>
            <w:tcBorders>
              <w:top w:val="single" w:sz="4" w:space="0" w:color="auto"/>
              <w:left w:val="single" w:sz="4" w:space="0" w:color="auto"/>
              <w:bottom w:val="single" w:sz="4" w:space="0" w:color="auto"/>
              <w:right w:val="single" w:sz="4" w:space="0" w:color="auto"/>
            </w:tcBorders>
            <w:vAlign w:val="center"/>
            <w:hideMark/>
          </w:tcPr>
          <w:p w14:paraId="6933629E"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UNDP-Sub-Regional Office</w:t>
            </w:r>
          </w:p>
          <w:p w14:paraId="1F244181"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Project Coordinator and Team</w:t>
            </w:r>
          </w:p>
          <w:p w14:paraId="7AD8D815"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Auditors</w:t>
            </w:r>
          </w:p>
        </w:tc>
        <w:tc>
          <w:tcPr>
            <w:tcW w:w="1122" w:type="pct"/>
            <w:tcBorders>
              <w:top w:val="single" w:sz="4" w:space="0" w:color="auto"/>
              <w:left w:val="single" w:sz="4" w:space="0" w:color="auto"/>
              <w:bottom w:val="single" w:sz="4" w:space="0" w:color="auto"/>
              <w:right w:val="single" w:sz="4" w:space="0" w:color="auto"/>
            </w:tcBorders>
            <w:vAlign w:val="center"/>
            <w:hideMark/>
          </w:tcPr>
          <w:p w14:paraId="47E9B7A5"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15,000 (indicative cost  per year: 3,000)</w:t>
            </w:r>
          </w:p>
        </w:tc>
        <w:tc>
          <w:tcPr>
            <w:tcW w:w="1069" w:type="pct"/>
            <w:tcBorders>
              <w:top w:val="single" w:sz="4" w:space="0" w:color="auto"/>
              <w:left w:val="single" w:sz="4" w:space="0" w:color="auto"/>
              <w:bottom w:val="single" w:sz="4" w:space="0" w:color="auto"/>
              <w:right w:val="single" w:sz="4" w:space="0" w:color="auto"/>
            </w:tcBorders>
            <w:hideMark/>
          </w:tcPr>
          <w:p w14:paraId="7161DEB2"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Annually</w:t>
            </w:r>
          </w:p>
        </w:tc>
      </w:tr>
      <w:tr w14:paraId="53195BAD" w:rsidR="006D7FB2" w:rsidRPr="006D7FB2" w:rsidTr="006D7FB2">
        <w:trPr>
          <w:jc w:val="center"/>
        </w:trPr>
        <w:tc>
          <w:tcPr>
            <w:tcW w:w="1140" w:type="pct"/>
            <w:tcBorders>
              <w:top w:val="single" w:sz="4" w:space="0" w:color="auto"/>
              <w:left w:val="single" w:sz="4" w:space="0" w:color="auto"/>
              <w:bottom w:val="single" w:sz="4" w:space="0" w:color="auto"/>
              <w:right w:val="single" w:sz="4" w:space="0" w:color="auto"/>
            </w:tcBorders>
            <w:hideMark/>
          </w:tcPr>
          <w:p w14:paraId="475653E3"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Visits to field sites </w:t>
            </w:r>
          </w:p>
        </w:tc>
        <w:tc>
          <w:tcPr>
            <w:tcW w:w="1669" w:type="pct"/>
            <w:tcBorders>
              <w:top w:val="single" w:sz="4" w:space="0" w:color="auto"/>
              <w:left w:val="single" w:sz="4" w:space="0" w:color="auto"/>
              <w:bottom w:val="single" w:sz="4" w:space="0" w:color="auto"/>
              <w:right w:val="single" w:sz="4" w:space="0" w:color="auto"/>
            </w:tcBorders>
            <w:vAlign w:val="center"/>
            <w:hideMark/>
          </w:tcPr>
          <w:p w14:paraId="4BD670B3"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UNDP CO </w:t>
            </w:r>
          </w:p>
          <w:p w14:paraId="1848D2A2"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UNDP RSC (as appropriate)</w:t>
            </w:r>
          </w:p>
          <w:p w14:paraId="2AF816E3" w:rsidR="006D7FB2" w:rsidRPr="006D7FB2" w:rsidRDefault="006D7FB2" w:rsidP="00CA416F">
            <w:pPr>
              <w:widowControl w:val="0"/>
              <w:numPr>
                <w:ilvl w:val="0"/>
                <w:numId w:val="69"/>
              </w:numPr>
              <w:kinsoku w:val="0"/>
              <w:overflowPunct w:val="0"/>
              <w:spacing w:before="60"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Government representatives</w:t>
            </w:r>
          </w:p>
        </w:tc>
        <w:tc>
          <w:tcPr>
            <w:tcW w:w="1122" w:type="pct"/>
            <w:tcBorders>
              <w:top w:val="single" w:sz="4" w:space="0" w:color="auto"/>
              <w:left w:val="single" w:sz="4" w:space="0" w:color="auto"/>
              <w:bottom w:val="single" w:sz="4" w:space="0" w:color="auto"/>
              <w:right w:val="single" w:sz="4" w:space="0" w:color="auto"/>
            </w:tcBorders>
            <w:vAlign w:val="center"/>
            <w:hideMark/>
          </w:tcPr>
          <w:p w14:paraId="331F67DD" w:rsidR="006D7FB2" w:rsidRPr="006D7FB2" w:rsidRDefault="006D7FB2" w:rsidP="00CA416F">
            <w:pPr>
              <w:widowControl w:val="0"/>
              <w:numPr>
                <w:ilvl w:val="0"/>
                <w:numId w:val="69"/>
              </w:numPr>
              <w:kinsoku w:val="0"/>
              <w:overflowPunct w:val="0"/>
              <w:spacing w:after="0" w:line="240" w:lineRule="auto"/>
              <w:textAlignment w:val="baseline"/>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For GEF supported projects, paid from IA fees and operational budget </w:t>
            </w:r>
          </w:p>
        </w:tc>
        <w:tc>
          <w:tcPr>
            <w:tcW w:w="1069" w:type="pct"/>
            <w:tcBorders>
              <w:top w:val="single" w:sz="4" w:space="0" w:color="auto"/>
              <w:left w:val="single" w:sz="4" w:space="0" w:color="auto"/>
              <w:bottom w:val="single" w:sz="4" w:space="0" w:color="auto"/>
              <w:right w:val="single" w:sz="4" w:space="0" w:color="auto"/>
            </w:tcBorders>
            <w:hideMark/>
          </w:tcPr>
          <w:p w14:paraId="6907D621"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Annually</w:t>
            </w:r>
          </w:p>
        </w:tc>
      </w:tr>
      <w:tr w14:paraId="5FBF360E" w:rsidR="006D7FB2" w:rsidRPr="006D7FB2" w:rsidTr="006D7FB2">
        <w:trPr>
          <w:cantSplit/>
          <w:trHeight w:val="944"/>
          <w:jc w:val="center"/>
        </w:trPr>
        <w:tc>
          <w:tcPr>
            <w:tcW w:w="2809" w:type="pct"/>
            <w:gridSpan w:val="2"/>
            <w:tcBorders>
              <w:top w:val="single" w:sz="4" w:space="0" w:color="auto"/>
              <w:left w:val="single" w:sz="4" w:space="0" w:color="auto"/>
              <w:bottom w:val="single" w:sz="4" w:space="0" w:color="auto"/>
              <w:right w:val="single" w:sz="4" w:space="0" w:color="auto"/>
            </w:tcBorders>
            <w:shd w:val="clear" w:color="auto" w:fill="E6E6E6"/>
            <w:hideMark/>
          </w:tcPr>
          <w:p w14:paraId="31B50922" w:rsidR="006D7FB2" w:rsidRPr="006D7FB2" w:rsidRDefault="006D7FB2" w:rsidP="006D7FB2">
            <w:pPr>
              <w:spacing w:after="0" w:line="240" w:lineRule="auto"/>
              <w:rPr>
                <w:rFonts w:ascii="Times New Roman" w:eastAsia="Calibri" w:hAnsi="Times New Roman" w:cs="Times New Roman"/>
                <w:b/>
                <w:bCs/>
                <w:sz w:val="20"/>
                <w:szCs w:val="20"/>
              </w:rPr>
            </w:pPr>
            <w:r w:rsidRPr="006D7FB2">
              <w:rPr>
                <w:rFonts w:ascii="Times New Roman" w:hAnsi="Times New Roman" w:eastAsia="Calibri" w:cs="Times New Roman"/>
                <w:b/>
                <w:bCs/>
                <w:sz w:val="20"/>
                <w:szCs w:val="20"/>
              </w:rPr>
              <w:t xml:space="preserve">TOTAL indicative COST </w:t>
            </w:r>
          </w:p>
          <w:p w14:paraId="59045C07"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Excluding project team staff time and UNDP staff and travel expenses </w:t>
            </w:r>
          </w:p>
        </w:tc>
        <w:tc>
          <w:tcPr>
            <w:tcW w:w="1122"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0A5ADE3E" w:rsidR="006D7FB2" w:rsidRPr="006D7FB2" w:rsidRDefault="006D7FB2" w:rsidP="006D7FB2">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 US$ </w:t>
            </w:r>
            <w:r w:rsidR="000967A4">
              <w:rPr>
                <w:rFonts w:ascii="Times New Roman" w:hAnsi="Times New Roman" w:eastAsia="Calibri" w:cs="Times New Roman"/>
                <w:sz w:val="20"/>
                <w:szCs w:val="20"/>
              </w:rPr>
              <w:t>100,436</w:t>
            </w:r>
          </w:p>
          <w:p w14:paraId="251D5CBE" w:rsidR="006D7FB2" w:rsidRPr="006D7FB2" w:rsidRDefault="006D7FB2" w:rsidP="000967A4">
            <w:pPr>
              <w:spacing w:after="0" w:line="240" w:lineRule="auto"/>
              <w:rPr>
                <w:rFonts w:ascii="Times New Roman" w:eastAsia="Calibri" w:hAnsi="Times New Roman" w:cs="Times New Roman"/>
                <w:sz w:val="20"/>
                <w:szCs w:val="20"/>
              </w:rPr>
            </w:pPr>
            <w:r w:rsidRPr="006D7FB2">
              <w:rPr>
                <w:rFonts w:ascii="Times New Roman" w:hAnsi="Times New Roman" w:eastAsia="Calibri" w:cs="Times New Roman"/>
                <w:sz w:val="20"/>
                <w:szCs w:val="20"/>
              </w:rPr>
              <w:t xml:space="preserve"> (+/- </w:t>
            </w:r>
            <w:r w:rsidR="000967A4">
              <w:rPr>
                <w:rFonts w:ascii="Times New Roman" w:hAnsi="Times New Roman" w:eastAsia="Calibri" w:cs="Times New Roman"/>
                <w:sz w:val="20"/>
                <w:szCs w:val="20"/>
              </w:rPr>
              <w:t>3.3</w:t>
            </w:r>
            <w:r w:rsidRPr="006D7FB2">
              <w:rPr>
                <w:rFonts w:ascii="Times New Roman" w:hAnsi="Times New Roman" w:eastAsia="Calibri" w:cs="Times New Roman"/>
                <w:sz w:val="20"/>
                <w:szCs w:val="20"/>
              </w:rPr>
              <w:t>% of total budget)</w:t>
            </w:r>
          </w:p>
        </w:tc>
        <w:tc>
          <w:tcPr>
            <w:tcW w:w="1069" w:type="pct"/>
            <w:tcBorders>
              <w:top w:val="single" w:sz="4" w:space="0" w:color="auto"/>
              <w:left w:val="single" w:sz="4" w:space="0" w:color="auto"/>
              <w:bottom w:val="single" w:sz="4" w:space="0" w:color="auto"/>
              <w:right w:val="single" w:sz="4" w:space="0" w:color="auto"/>
            </w:tcBorders>
            <w:shd w:val="clear" w:color="auto" w:fill="E6E6E6"/>
          </w:tcPr>
          <w:p w14:paraId="38C1EB9A" w:rsidR="006D7FB2" w:rsidRPr="006D7FB2" w:rsidRDefault="006D7FB2" w:rsidP="006D7FB2">
            <w:pPr>
              <w:spacing w:after="0" w:line="240" w:lineRule="auto"/>
              <w:rPr>
                <w:rFonts w:ascii="Times New Roman" w:eastAsia="Calibri" w:hAnsi="Times New Roman" w:cs="Times New Roman"/>
                <w:sz w:val="20"/>
                <w:szCs w:val="20"/>
              </w:rPr>
            </w:pPr>
          </w:p>
        </w:tc>
      </w:tr>
    </w:tbl>
    <w:p w14:paraId="5622F4BD" w:rsidR="005C1B59" w:rsidRPr="005C1B59" w:rsidRDefault="005C1B59" w:rsidP="005C1B59">
      <w:pPr>
        <w:spacing w:after="240" w:line="240" w:lineRule="auto"/>
        <w:rPr>
          <w:rFonts w:ascii="Times New Roman" w:hAnsi="Times New Roman" w:cs="Times New Roman"/>
        </w:rPr>
      </w:pPr>
    </w:p>
    <w:p w14:paraId="18A31DC3" w:rsidR="005C1B59" w:rsidRDefault="005C1B59">
      <w:pPr>
        <w:rPr>
          <w:rFonts w:ascii="Times New Roman" w:hAnsi="Times New Roman" w:cs="Times New Roman"/>
        </w:rPr>
      </w:pPr>
      <w:r>
        <w:rPr>
          <w:rFonts w:ascii="Times New Roman" w:hAnsi="Times New Roman" w:cs="Times New Roman"/>
        </w:rPr>
        <w:br w:type="page"/>
      </w:r>
    </w:p>
    <w:p w14:paraId="679951BD" w:rsidR="005C1B59" w:rsidRPr="00DC4545" w:rsidRDefault="005C1B59" w:rsidP="005C1B59">
      <w:pPr>
        <w:pStyle w:val="Heading1"/>
        <w:rPr>
          <w:u w:val="single"/>
        </w:rPr>
      </w:pPr>
      <w:bookmarkStart w:id="68" w:name="_Toc389820980"/>
      <w:r w:rsidRPr="00DC4545">
        <w:t xml:space="preserve">STAKEHOLDER </w:t>
      </w:r>
      <w:r w:rsidRPr="00946A10">
        <w:t>INVOLVEMENT PLAN</w:t>
      </w:r>
      <w:bookmarkEnd w:id="68"/>
    </w:p>
    <w:p w14:paraId="58D9E50B" w:rsidR="005C1B59" w:rsidRPr="00DC4545" w:rsidRDefault="005C1B59" w:rsidP="005C1B59">
      <w:pPr>
        <w:spacing w:after="0" w:line="240" w:lineRule="auto"/>
        <w:rPr>
          <w:rFonts w:ascii="Times New Roman" w:hAnsi="Times New Roman" w:cs="Times New Roman"/>
        </w:rPr>
      </w:pPr>
    </w:p>
    <w:p w14:paraId="22E6FCE1" w:rsidR="005C1B59" w:rsidRPr="00DC4545" w:rsidRDefault="005C1B59" w:rsidP="005C1B59">
      <w:pPr>
        <w:spacing w:after="0" w:line="240" w:lineRule="auto"/>
        <w:rPr>
          <w:rFonts w:ascii="Times New Roman" w:hAnsi="Times New Roman" w:cs="Times New Roman"/>
          <w:b/>
          <w:u w:val="single"/>
        </w:rPr>
      </w:pPr>
      <w:r w:rsidRPr="00DC4545">
        <w:rPr>
          <w:rFonts w:ascii="Times New Roman" w:hAnsi="Times New Roman" w:cs="Times New Roman"/>
          <w:b/>
          <w:u w:val="single"/>
        </w:rPr>
        <w:t xml:space="preserve">Stakeholder Participation during Project Preparation </w:t>
      </w:r>
    </w:p>
    <w:p w14:paraId="33C79670" w:rsidR="005C1B59" w:rsidRPr="00DC4545"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Pr>
          <w:rFonts w:ascii="Times New Roman" w:hAnsi="Times New Roman" w:cs="Times New Roman"/>
        </w:rPr>
        <w:t>T</w:t>
      </w:r>
      <w:r w:rsidRPr="00DC4545">
        <w:rPr>
          <w:rFonts w:ascii="Times New Roman" w:hAnsi="Times New Roman" w:cs="Times New Roman"/>
        </w:rPr>
        <w:t>he project preparation phase</w:t>
      </w:r>
      <w:r>
        <w:rPr>
          <w:rFonts w:ascii="Times New Roman" w:hAnsi="Times New Roman" w:cs="Times New Roman"/>
        </w:rPr>
        <w:t xml:space="preserve"> involved</w:t>
      </w:r>
      <w:r w:rsidRPr="00DC4545">
        <w:rPr>
          <w:rFonts w:ascii="Times New Roman" w:hAnsi="Times New Roman" w:cs="Times New Roman"/>
        </w:rPr>
        <w:t xml:space="preserve"> exercises for identification of the project framework </w:t>
      </w:r>
      <w:r>
        <w:rPr>
          <w:rFonts w:ascii="Times New Roman" w:hAnsi="Times New Roman" w:cs="Times New Roman"/>
        </w:rPr>
        <w:t>with participation of</w:t>
      </w:r>
      <w:r w:rsidRPr="00DC4545">
        <w:rPr>
          <w:rFonts w:ascii="Times New Roman" w:hAnsi="Times New Roman" w:cs="Times New Roman"/>
        </w:rPr>
        <w:t xml:space="preserve"> key Government department</w:t>
      </w:r>
      <w:r>
        <w:rPr>
          <w:rFonts w:ascii="Times New Roman" w:hAnsi="Times New Roman" w:cs="Times New Roman"/>
        </w:rPr>
        <w:t>s,</w:t>
      </w:r>
      <w:r w:rsidRPr="00DC4545">
        <w:rPr>
          <w:rFonts w:ascii="Times New Roman" w:hAnsi="Times New Roman" w:cs="Times New Roman"/>
        </w:rPr>
        <w:t xml:space="preserve"> NGOs, CBOs and volunteer consultants.  The consultants under the direction of UNDP and in collaboration with the Government of Grenada’s indicative implementing agency, Ministry of Agriculture and Environment, commenced and outreach initiative to generate stakeholder awareness of the project as defined in the approved project identification form as (Basic Design).  </w:t>
      </w:r>
    </w:p>
    <w:p w14:paraId="3CBB529D" w:rsidR="005C1B59" w:rsidRPr="00DC4545"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The task of the consultants was to reintroduce the project to all stakeholders (i.e. including all the relevant Government agencies expected to participate within the 5 year project lifetime) and for the purpose of explaining details of the project as specified in the PIF in terms of: </w:t>
      </w:r>
    </w:p>
    <w:p w14:paraId="33E44C15"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Meeting both Global and local objectives</w:t>
      </w:r>
    </w:p>
    <w:p w14:paraId="2BF6A264"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Government administrators and their technical staffs’ obligations and responsibility to the project as a join initiative of Government of Grenada and UNDP/GEF.</w:t>
      </w:r>
    </w:p>
    <w:p w14:paraId="6E06928D"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Defining the constraints  under which both Government UNDP/GEF must budget resource support for the PIF specified project activities;</w:t>
      </w:r>
    </w:p>
    <w:p w14:paraId="1413918C"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 xml:space="preserve">Generating participation from stakeholders for articulating how GEF core funding might be spent and also articulating what co-financing resources might be needed for specific activities; </w:t>
      </w:r>
    </w:p>
    <w:p w14:paraId="0334C004"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Identifying, with stakeholders advise, how the co-management participation process should be undertaken;</w:t>
      </w:r>
    </w:p>
    <w:p w14:paraId="2E07E363" w:rsidR="005C1B59" w:rsidRPr="00DC4545" w:rsidRDefault="005C1B59" w:rsidP="00CA416F">
      <w:pPr>
        <w:pStyle w:val="ListParagraph"/>
        <w:numPr>
          <w:ilvl w:val="0"/>
          <w:numId w:val="8"/>
        </w:numPr>
        <w:spacing w:after="0"/>
        <w:rPr>
          <w:rFonts w:ascii="Times New Roman" w:hAnsi="Times New Roman" w:cs="Times New Roman"/>
        </w:rPr>
      </w:pPr>
      <w:r w:rsidRPr="00DC4545">
        <w:rPr>
          <w:rFonts w:ascii="Times New Roman" w:hAnsi="Times New Roman" w:cs="Times New Roman"/>
        </w:rPr>
        <w:t>Determining the existing capacity and willingness of NGOs and CBOs to participate in co</w:t>
      </w:r>
      <w:r w:rsidR="00042EF1">
        <w:rPr>
          <w:rFonts w:ascii="Times New Roman" w:hAnsi="Times New Roman" w:cs="Times New Roman"/>
        </w:rPr>
        <w:t>-</w:t>
      </w:r>
      <w:r w:rsidRPr="00DC4545">
        <w:rPr>
          <w:rFonts w:ascii="Times New Roman" w:hAnsi="Times New Roman" w:cs="Times New Roman"/>
        </w:rPr>
        <w:t xml:space="preserve">management initiatives of the project as designed by the PIF.  Within the process for preparation of the full-sized </w:t>
      </w:r>
      <w:r w:rsidR="00042EF1">
        <w:rPr>
          <w:rFonts w:ascii="Times New Roman" w:hAnsi="Times New Roman" w:cs="Times New Roman"/>
        </w:rPr>
        <w:t>project (FSP) a number of focus</w:t>
      </w:r>
      <w:r w:rsidRPr="00DC4545">
        <w:rPr>
          <w:rFonts w:ascii="Times New Roman" w:hAnsi="Times New Roman" w:cs="Times New Roman"/>
        </w:rPr>
        <w:t xml:space="preserve"> groups and formal meeting were conducted and included: (a) </w:t>
      </w:r>
      <w:r w:rsidR="00042EF1">
        <w:rPr>
          <w:rFonts w:ascii="Times New Roman" w:hAnsi="Times New Roman" w:cs="Times New Roman"/>
        </w:rPr>
        <w:t>the PPG</w:t>
      </w:r>
      <w:r w:rsidRPr="00DC4545">
        <w:rPr>
          <w:rFonts w:ascii="Times New Roman" w:hAnsi="Times New Roman" w:cs="Times New Roman"/>
        </w:rPr>
        <w:t xml:space="preserve"> Inception workshop</w:t>
      </w:r>
      <w:r w:rsidR="00042EF1">
        <w:rPr>
          <w:rFonts w:ascii="Times New Roman" w:hAnsi="Times New Roman" w:cs="Times New Roman"/>
        </w:rPr>
        <w:t>;</w:t>
      </w:r>
      <w:r w:rsidRPr="00DC4545">
        <w:rPr>
          <w:rFonts w:ascii="Times New Roman" w:hAnsi="Times New Roman" w:cs="Times New Roman"/>
        </w:rPr>
        <w:t xml:space="preserve"> (b) Several results framework workshops</w:t>
      </w:r>
      <w:r w:rsidR="00042EF1">
        <w:rPr>
          <w:rFonts w:ascii="Times New Roman" w:hAnsi="Times New Roman" w:cs="Times New Roman"/>
        </w:rPr>
        <w:t>;</w:t>
      </w:r>
      <w:r w:rsidRPr="00DC4545">
        <w:rPr>
          <w:rFonts w:ascii="Times New Roman" w:hAnsi="Times New Roman" w:cs="Times New Roman"/>
        </w:rPr>
        <w:t xml:space="preserve"> (c) Consultations with the Government</w:t>
      </w:r>
      <w:r w:rsidR="00042EF1">
        <w:rPr>
          <w:rFonts w:ascii="Times New Roman" w:hAnsi="Times New Roman" w:cs="Times New Roman"/>
        </w:rPr>
        <w:t>’</w:t>
      </w:r>
      <w:r w:rsidRPr="00DC4545">
        <w:rPr>
          <w:rFonts w:ascii="Times New Roman" w:hAnsi="Times New Roman" w:cs="Times New Roman"/>
        </w:rPr>
        <w:t xml:space="preserve">s indicative project </w:t>
      </w:r>
      <w:r w:rsidR="00042EF1">
        <w:rPr>
          <w:rFonts w:ascii="Times New Roman" w:hAnsi="Times New Roman" w:cs="Times New Roman"/>
        </w:rPr>
        <w:t>executing</w:t>
      </w:r>
      <w:r w:rsidRPr="00DC4545">
        <w:rPr>
          <w:rFonts w:ascii="Times New Roman" w:hAnsi="Times New Roman" w:cs="Times New Roman"/>
        </w:rPr>
        <w:t xml:space="preserve"> agency; (d) Meet</w:t>
      </w:r>
      <w:r w:rsidR="00042EF1">
        <w:rPr>
          <w:rFonts w:ascii="Times New Roman" w:hAnsi="Times New Roman" w:cs="Times New Roman"/>
        </w:rPr>
        <w:t>ings</w:t>
      </w:r>
      <w:r w:rsidRPr="00DC4545">
        <w:rPr>
          <w:rFonts w:ascii="Times New Roman" w:hAnsi="Times New Roman" w:cs="Times New Roman"/>
        </w:rPr>
        <w:t xml:space="preserve"> with key individuals from both Government agencies and CBOs </w:t>
      </w:r>
      <w:r w:rsidR="00042EF1">
        <w:rPr>
          <w:rFonts w:ascii="Times New Roman" w:hAnsi="Times New Roman" w:cs="Times New Roman"/>
        </w:rPr>
        <w:t>/</w:t>
      </w:r>
      <w:r w:rsidRPr="00DC4545">
        <w:rPr>
          <w:rFonts w:ascii="Times New Roman" w:hAnsi="Times New Roman" w:cs="Times New Roman"/>
        </w:rPr>
        <w:t xml:space="preserve"> NGOs. </w:t>
      </w:r>
    </w:p>
    <w:p w14:paraId="6C3C1E58" w:rsidR="005C1B59" w:rsidRPr="00DC4545" w:rsidRDefault="005C1B59" w:rsidP="005C1B59">
      <w:pPr>
        <w:pStyle w:val="ListParagraph"/>
        <w:spacing w:after="0" w:line="240" w:lineRule="auto"/>
        <w:rPr>
          <w:rFonts w:ascii="Times New Roman" w:hAnsi="Times New Roman" w:cs="Times New Roman"/>
        </w:rPr>
      </w:pPr>
    </w:p>
    <w:p w14:paraId="291BBA4D" w:rsidR="005C1B59" w:rsidRPr="00DC4545" w:rsidRDefault="005C1B59" w:rsidP="005C1B59">
      <w:pPr>
        <w:pStyle w:val="ListParagraph"/>
        <w:spacing w:after="0" w:line="240" w:lineRule="auto"/>
        <w:ind w:left="0"/>
        <w:rPr>
          <w:rFonts w:ascii="Times New Roman" w:hAnsi="Times New Roman" w:cs="Times New Roman"/>
          <w:b/>
          <w:u w:val="single"/>
        </w:rPr>
      </w:pPr>
      <w:r w:rsidRPr="00DC4545">
        <w:rPr>
          <w:rFonts w:ascii="Times New Roman" w:hAnsi="Times New Roman" w:cs="Times New Roman"/>
          <w:b/>
          <w:u w:val="single"/>
        </w:rPr>
        <w:t>Inception workshop of the PPG phase</w:t>
      </w:r>
    </w:p>
    <w:p w14:paraId="6FA9F810" w:rsidR="005C1B59" w:rsidRPr="00DC4545" w:rsidRDefault="005C1B59" w:rsidP="00CA416F">
      <w:pPr>
        <w:pStyle w:val="ListParagraph"/>
        <w:numPr>
          <w:ilvl w:val="0"/>
          <w:numId w:val="27"/>
        </w:numPr>
        <w:spacing w:after="240" w:line="240" w:lineRule="auto"/>
        <w:ind w:left="0" w:firstLine="0"/>
        <w:contextualSpacing w:val="0"/>
        <w:rPr>
          <w:rFonts w:ascii="Times New Roman" w:hAnsi="Times New Roman" w:cs="Times New Roman"/>
        </w:rPr>
      </w:pPr>
      <w:r w:rsidRPr="00DC4545">
        <w:rPr>
          <w:rFonts w:ascii="Times New Roman" w:hAnsi="Times New Roman" w:cs="Times New Roman"/>
        </w:rPr>
        <w:t>Th</w:t>
      </w:r>
      <w:r>
        <w:rPr>
          <w:rFonts w:ascii="Times New Roman" w:hAnsi="Times New Roman" w:cs="Times New Roman"/>
        </w:rPr>
        <w:t>e PPG</w:t>
      </w:r>
      <w:r w:rsidRPr="00DC4545">
        <w:rPr>
          <w:rFonts w:ascii="Times New Roman" w:hAnsi="Times New Roman" w:cs="Times New Roman"/>
        </w:rPr>
        <w:t xml:space="preserve"> inception workshop was held 23</w:t>
      </w:r>
      <w:r w:rsidRPr="00DC4545">
        <w:rPr>
          <w:rFonts w:ascii="Times New Roman" w:hAnsi="Times New Roman" w:cs="Times New Roman"/>
          <w:vertAlign w:val="superscript"/>
        </w:rPr>
        <w:t>rd</w:t>
      </w:r>
      <w:r w:rsidRPr="00DC4545">
        <w:rPr>
          <w:rFonts w:ascii="Times New Roman" w:hAnsi="Times New Roman" w:cs="Times New Roman"/>
        </w:rPr>
        <w:t xml:space="preserve"> July 2013in St. Georges, Grenada.  The</w:t>
      </w:r>
      <w:r>
        <w:rPr>
          <w:rFonts w:ascii="Times New Roman" w:hAnsi="Times New Roman" w:cs="Times New Roman"/>
        </w:rPr>
        <w:t xml:space="preserve"> participants</w:t>
      </w:r>
      <w:r w:rsidRPr="00DC4545">
        <w:rPr>
          <w:rFonts w:ascii="Times New Roman" w:hAnsi="Times New Roman" w:cs="Times New Roman"/>
        </w:rPr>
        <w:t xml:space="preserve"> included a representative </w:t>
      </w:r>
      <w:r>
        <w:rPr>
          <w:rFonts w:ascii="Times New Roman" w:hAnsi="Times New Roman" w:cs="Times New Roman"/>
        </w:rPr>
        <w:t>from the</w:t>
      </w:r>
      <w:r w:rsidRPr="00DC4545">
        <w:rPr>
          <w:rFonts w:ascii="Times New Roman" w:hAnsi="Times New Roman" w:cs="Times New Roman"/>
        </w:rPr>
        <w:t xml:space="preserve"> Ministry of Finance and </w:t>
      </w:r>
      <w:r>
        <w:rPr>
          <w:rFonts w:ascii="Times New Roman" w:hAnsi="Times New Roman" w:cs="Times New Roman"/>
        </w:rPr>
        <w:t>P</w:t>
      </w:r>
      <w:r w:rsidRPr="00DC4545">
        <w:rPr>
          <w:rFonts w:ascii="Times New Roman" w:hAnsi="Times New Roman" w:cs="Times New Roman"/>
        </w:rPr>
        <w:t xml:space="preserve">lanning (the </w:t>
      </w:r>
      <w:r>
        <w:rPr>
          <w:rFonts w:ascii="Times New Roman" w:hAnsi="Times New Roman" w:cs="Times New Roman"/>
        </w:rPr>
        <w:t>Ministry that was originally r</w:t>
      </w:r>
      <w:r w:rsidRPr="00DC4545">
        <w:rPr>
          <w:rFonts w:ascii="Times New Roman" w:hAnsi="Times New Roman" w:cs="Times New Roman"/>
        </w:rPr>
        <w:t xml:space="preserve">esponsible for the project), the UNDP/GEF representative from the sub-regional office Barbados, the </w:t>
      </w:r>
      <w:r>
        <w:rPr>
          <w:rFonts w:ascii="Times New Roman" w:hAnsi="Times New Roman" w:cs="Times New Roman"/>
        </w:rPr>
        <w:t>UNDP/GEF Regional Technical Advisor from</w:t>
      </w:r>
      <w:r w:rsidRPr="00DC4545">
        <w:rPr>
          <w:rFonts w:ascii="Times New Roman" w:hAnsi="Times New Roman" w:cs="Times New Roman"/>
        </w:rPr>
        <w:t xml:space="preserve"> Panama, the three contract consultants</w:t>
      </w:r>
      <w:r>
        <w:rPr>
          <w:rFonts w:ascii="Times New Roman" w:hAnsi="Times New Roman" w:cs="Times New Roman"/>
        </w:rPr>
        <w:t>,</w:t>
      </w:r>
      <w:r w:rsidRPr="00DC4545">
        <w:rPr>
          <w:rFonts w:ascii="Times New Roman" w:hAnsi="Times New Roman" w:cs="Times New Roman"/>
        </w:rPr>
        <w:t xml:space="preserve"> the local person from the forestry division (by Skype) and the local persons from the </w:t>
      </w:r>
      <w:r>
        <w:rPr>
          <w:rFonts w:ascii="Times New Roman" w:hAnsi="Times New Roman" w:cs="Times New Roman"/>
        </w:rPr>
        <w:t>fisheries</w:t>
      </w:r>
      <w:r w:rsidRPr="00DC4545">
        <w:rPr>
          <w:rFonts w:ascii="Times New Roman" w:hAnsi="Times New Roman" w:cs="Times New Roman"/>
        </w:rPr>
        <w:t xml:space="preserve"> division.  The objective for the workshop was to: </w:t>
      </w:r>
    </w:p>
    <w:p w14:paraId="33CAC7BD" w:rsidR="005C1B59" w:rsidRPr="00DC4545" w:rsidRDefault="005C1B59" w:rsidP="00CA416F">
      <w:pPr>
        <w:pStyle w:val="ListParagraph"/>
        <w:numPr>
          <w:ilvl w:val="0"/>
          <w:numId w:val="9"/>
        </w:numPr>
        <w:spacing w:after="0"/>
        <w:rPr>
          <w:rFonts w:ascii="Times New Roman" w:hAnsi="Times New Roman" w:cs="Times New Roman"/>
        </w:rPr>
      </w:pPr>
      <w:r w:rsidRPr="00DC4545">
        <w:rPr>
          <w:rFonts w:ascii="Times New Roman" w:hAnsi="Times New Roman" w:cs="Times New Roman"/>
        </w:rPr>
        <w:t xml:space="preserve">Help the PPG project team and other stakeholders to understand and take ownership of the project goals and objectives; </w:t>
      </w:r>
    </w:p>
    <w:p w14:paraId="136FD4FB" w:rsidR="005C1B59" w:rsidRPr="00DC4545" w:rsidRDefault="005C1B59" w:rsidP="00CA416F">
      <w:pPr>
        <w:pStyle w:val="ListParagraph"/>
        <w:numPr>
          <w:ilvl w:val="0"/>
          <w:numId w:val="9"/>
        </w:numPr>
        <w:spacing w:after="0"/>
        <w:rPr>
          <w:rFonts w:ascii="Times New Roman" w:hAnsi="Times New Roman" w:cs="Times New Roman"/>
        </w:rPr>
      </w:pPr>
      <w:r w:rsidRPr="00DC4545">
        <w:rPr>
          <w:rFonts w:ascii="Times New Roman" w:hAnsi="Times New Roman" w:cs="Times New Roman"/>
        </w:rPr>
        <w:t>Ensure that the project team of consultants and other stakeholders have a clear understanding of what the PPG phase sought to achie</w:t>
      </w:r>
      <w:r w:rsidR="00042EF1">
        <w:rPr>
          <w:rFonts w:ascii="Times New Roman" w:hAnsi="Times New Roman" w:cs="Times New Roman"/>
        </w:rPr>
        <w:t>ve as well as their own roles in</w:t>
      </w:r>
      <w:r w:rsidRPr="00DC4545">
        <w:rPr>
          <w:rFonts w:ascii="Times New Roman" w:hAnsi="Times New Roman" w:cs="Times New Roman"/>
        </w:rPr>
        <w:t xml:space="preserve"> successfully carrying out PPG activities;</w:t>
      </w:r>
    </w:p>
    <w:p w14:paraId="4EA5B81A" w:rsidR="005C1B59" w:rsidRPr="00DC4545" w:rsidRDefault="005C1B59" w:rsidP="00CA416F">
      <w:pPr>
        <w:pStyle w:val="ListParagraph"/>
        <w:numPr>
          <w:ilvl w:val="0"/>
          <w:numId w:val="9"/>
        </w:numPr>
        <w:spacing w:after="0"/>
        <w:rPr>
          <w:rFonts w:ascii="Times New Roman" w:hAnsi="Times New Roman" w:cs="Times New Roman"/>
        </w:rPr>
      </w:pPr>
      <w:r w:rsidRPr="00DC4545">
        <w:rPr>
          <w:rFonts w:ascii="Times New Roman" w:hAnsi="Times New Roman" w:cs="Times New Roman"/>
        </w:rPr>
        <w:t>Rebuild commitment and momentum among key stakeholders for the PPG phase</w:t>
      </w:r>
      <w:r w:rsidR="00042EF1">
        <w:rPr>
          <w:rFonts w:ascii="Times New Roman" w:hAnsi="Times New Roman" w:cs="Times New Roman"/>
        </w:rPr>
        <w:t>;</w:t>
      </w:r>
      <w:r w:rsidRPr="00DC4545">
        <w:rPr>
          <w:rFonts w:ascii="Times New Roman" w:hAnsi="Times New Roman" w:cs="Times New Roman"/>
        </w:rPr>
        <w:t xml:space="preserve"> </w:t>
      </w:r>
    </w:p>
    <w:p w14:paraId="6A6E2B45" w:rsidR="005C1B59" w:rsidRDefault="005C1B59" w:rsidP="00CA416F">
      <w:pPr>
        <w:pStyle w:val="ListParagraph"/>
        <w:numPr>
          <w:ilvl w:val="0"/>
          <w:numId w:val="9"/>
        </w:numPr>
        <w:spacing w:after="0"/>
        <w:rPr>
          <w:rFonts w:ascii="Times New Roman" w:hAnsi="Times New Roman" w:cs="Times New Roman"/>
        </w:rPr>
      </w:pPr>
      <w:r w:rsidRPr="00DC4545">
        <w:rPr>
          <w:rFonts w:ascii="Times New Roman" w:hAnsi="Times New Roman" w:cs="Times New Roman"/>
        </w:rPr>
        <w:t>Validate the PPG work plan</w:t>
      </w:r>
      <w:r w:rsidR="00042EF1">
        <w:rPr>
          <w:rFonts w:ascii="Times New Roman" w:hAnsi="Times New Roman" w:cs="Times New Roman"/>
        </w:rPr>
        <w:t>; and</w:t>
      </w:r>
    </w:p>
    <w:p w14:paraId="1C7CEEBC" w:rsidR="00042EF1" w:rsidRPr="00DC4545" w:rsidRDefault="00042EF1" w:rsidP="00CA416F">
      <w:pPr>
        <w:pStyle w:val="ListParagraph"/>
        <w:numPr>
          <w:ilvl w:val="0"/>
          <w:numId w:val="9"/>
        </w:numPr>
        <w:spacing w:after="0"/>
        <w:rPr>
          <w:rFonts w:ascii="Times New Roman" w:hAnsi="Times New Roman" w:cs="Times New Roman"/>
        </w:rPr>
      </w:pPr>
      <w:r>
        <w:rPr>
          <w:rFonts w:ascii="Times New Roman" w:hAnsi="Times New Roman" w:cs="Times New Roman"/>
        </w:rPr>
        <w:t>Visit</w:t>
      </w:r>
      <w:r w:rsidRPr="00042EF1">
        <w:rPr>
          <w:rFonts w:ascii="Times New Roman" w:hAnsi="Times New Roman" w:cs="Times New Roman"/>
        </w:rPr>
        <w:t xml:space="preserve"> the Beausejour watershed to get a sense of the scope of issues that characterize the Ridge to Reef perspective of landscape to seascape environmental impacts.</w:t>
      </w:r>
    </w:p>
    <w:p w14:paraId="4B42DA9A" w:rsidR="005C1B59" w:rsidRPr="00DC4545" w:rsidRDefault="005C1B59" w:rsidP="005C1B59">
      <w:pPr>
        <w:spacing w:after="0"/>
        <w:rPr>
          <w:rFonts w:ascii="Times New Roman" w:hAnsi="Times New Roman" w:cs="Times New Roman"/>
          <w:b/>
          <w:u w:val="single"/>
        </w:rPr>
      </w:pPr>
    </w:p>
    <w:p w14:paraId="44765444" w:rsidR="005C1B59" w:rsidRPr="00DC4545" w:rsidRDefault="005C1B59" w:rsidP="005C1B59">
      <w:pPr>
        <w:spacing w:after="0" w:line="240" w:lineRule="auto"/>
        <w:rPr>
          <w:rFonts w:ascii="Times New Roman" w:hAnsi="Times New Roman" w:cs="Times New Roman"/>
          <w:b/>
          <w:u w:val="single"/>
        </w:rPr>
      </w:pPr>
      <w:r>
        <w:rPr>
          <w:rFonts w:ascii="Times New Roman" w:hAnsi="Times New Roman" w:cs="Times New Roman"/>
          <w:b/>
          <w:u w:val="single"/>
        </w:rPr>
        <w:t>Project results frame</w:t>
      </w:r>
      <w:r w:rsidRPr="00DC4545">
        <w:rPr>
          <w:rFonts w:ascii="Times New Roman" w:hAnsi="Times New Roman" w:cs="Times New Roman"/>
          <w:b/>
          <w:u w:val="single"/>
        </w:rPr>
        <w:t>work workshop</w:t>
      </w:r>
    </w:p>
    <w:p w14:paraId="5290D05F" w:rsidR="005C1B59" w:rsidRPr="00DC4545" w:rsidRDefault="005C1B59" w:rsidP="005C1B59">
      <w:pPr>
        <w:spacing w:after="0" w:line="240" w:lineRule="auto"/>
        <w:rPr>
          <w:rFonts w:ascii="Times New Roman" w:hAnsi="Times New Roman" w:cs="Times New Roman"/>
          <w:b/>
          <w:u w:val="single"/>
        </w:rPr>
      </w:pPr>
    </w:p>
    <w:p w14:paraId="3DDB3377" w:rsidR="005C1B59" w:rsidRPr="00DC4545" w:rsidRDefault="005C1B59" w:rsidP="00CA416F">
      <w:pPr>
        <w:pStyle w:val="ListParagraph"/>
        <w:numPr>
          <w:ilvl w:val="0"/>
          <w:numId w:val="27"/>
        </w:numPr>
        <w:spacing w:after="240" w:line="240" w:lineRule="auto"/>
        <w:ind w:left="0" w:firstLine="0"/>
        <w:contextualSpacing w:val="0"/>
        <w:rPr>
          <w:rFonts w:ascii="Times New Roman" w:hAnsi="Times New Roman" w:cs="Times New Roman"/>
        </w:rPr>
      </w:pPr>
      <w:r w:rsidRPr="00DC4545">
        <w:rPr>
          <w:rFonts w:ascii="Times New Roman" w:hAnsi="Times New Roman" w:cs="Times New Roman"/>
        </w:rPr>
        <w:t xml:space="preserve">The objective of the focus group and individual engagements </w:t>
      </w:r>
      <w:r>
        <w:rPr>
          <w:rFonts w:ascii="Times New Roman" w:hAnsi="Times New Roman" w:cs="Times New Roman"/>
        </w:rPr>
        <w:t>was</w:t>
      </w:r>
      <w:r w:rsidRPr="00DC4545">
        <w:rPr>
          <w:rFonts w:ascii="Times New Roman" w:hAnsi="Times New Roman" w:cs="Times New Roman"/>
        </w:rPr>
        <w:t xml:space="preserve"> to define projects activities in terms of outcomes and outputs and explain how each could potentially fit </w:t>
      </w:r>
      <w:r>
        <w:rPr>
          <w:rFonts w:ascii="Times New Roman" w:hAnsi="Times New Roman" w:cs="Times New Roman"/>
        </w:rPr>
        <w:t xml:space="preserve">into </w:t>
      </w:r>
      <w:r w:rsidRPr="00DC4545">
        <w:rPr>
          <w:rFonts w:ascii="Times New Roman" w:hAnsi="Times New Roman" w:cs="Times New Roman"/>
        </w:rPr>
        <w:t xml:space="preserve">planned project activities. </w:t>
      </w:r>
      <w:r>
        <w:rPr>
          <w:rFonts w:ascii="Times New Roman" w:hAnsi="Times New Roman" w:cs="Times New Roman"/>
        </w:rPr>
        <w:t>Focus</w:t>
      </w:r>
      <w:r w:rsidRPr="00DC4545">
        <w:rPr>
          <w:rFonts w:ascii="Times New Roman" w:hAnsi="Times New Roman" w:cs="Times New Roman"/>
        </w:rPr>
        <w:t xml:space="preserve"> groups were held with stakeholders related to specific outcomes and outputs.  Notabl</w:t>
      </w:r>
      <w:r>
        <w:rPr>
          <w:rFonts w:ascii="Times New Roman" w:hAnsi="Times New Roman" w:cs="Times New Roman"/>
        </w:rPr>
        <w:t>y the task was to reintroduce t</w:t>
      </w:r>
      <w:r w:rsidRPr="00DC4545">
        <w:rPr>
          <w:rFonts w:ascii="Times New Roman" w:hAnsi="Times New Roman" w:cs="Times New Roman"/>
        </w:rPr>
        <w:t xml:space="preserve">he project to the implementing Ministry and commence a process of commitment to the planned activities to be </w:t>
      </w:r>
      <w:r>
        <w:rPr>
          <w:rFonts w:ascii="Times New Roman" w:hAnsi="Times New Roman" w:cs="Times New Roman"/>
        </w:rPr>
        <w:t>articulated within the FSP</w:t>
      </w:r>
      <w:r w:rsidRPr="00DC4545">
        <w:rPr>
          <w:rFonts w:ascii="Times New Roman" w:hAnsi="Times New Roman" w:cs="Times New Roman"/>
        </w:rPr>
        <w:t xml:space="preserve"> formulation. The focus group of CB</w:t>
      </w:r>
      <w:r>
        <w:rPr>
          <w:rFonts w:ascii="Times New Roman" w:hAnsi="Times New Roman" w:cs="Times New Roman"/>
        </w:rPr>
        <w:t>O</w:t>
      </w:r>
      <w:r w:rsidRPr="00DC4545">
        <w:rPr>
          <w:rFonts w:ascii="Times New Roman" w:hAnsi="Times New Roman" w:cs="Times New Roman"/>
        </w:rPr>
        <w:t>s/NG</w:t>
      </w:r>
      <w:r>
        <w:rPr>
          <w:rFonts w:ascii="Times New Roman" w:hAnsi="Times New Roman" w:cs="Times New Roman"/>
        </w:rPr>
        <w:t>O</w:t>
      </w:r>
      <w:r w:rsidRPr="00DC4545">
        <w:rPr>
          <w:rFonts w:ascii="Times New Roman" w:hAnsi="Times New Roman" w:cs="Times New Roman"/>
        </w:rPr>
        <w:t xml:space="preserve">s engaged most of the non-governmental and community-based groups in discussions on their potential individual and collaborative roles in the execution of various defined activities as specified by the PIF and solicited their advice on the orientation </w:t>
      </w:r>
      <w:r>
        <w:rPr>
          <w:rFonts w:ascii="Times New Roman" w:hAnsi="Times New Roman" w:cs="Times New Roman"/>
        </w:rPr>
        <w:t xml:space="preserve">with </w:t>
      </w:r>
      <w:r w:rsidRPr="00DC4545">
        <w:rPr>
          <w:rFonts w:ascii="Times New Roman" w:hAnsi="Times New Roman" w:cs="Times New Roman"/>
        </w:rPr>
        <w:t>respect to co-management engagements</w:t>
      </w:r>
      <w:r>
        <w:rPr>
          <w:rFonts w:ascii="Times New Roman" w:hAnsi="Times New Roman" w:cs="Times New Roman"/>
        </w:rPr>
        <w:t>.</w:t>
      </w:r>
      <w:r w:rsidRPr="00DC4545">
        <w:rPr>
          <w:rFonts w:ascii="Times New Roman" w:hAnsi="Times New Roman" w:cs="Times New Roman"/>
        </w:rPr>
        <w:t xml:space="preserve">   </w:t>
      </w:r>
    </w:p>
    <w:p w14:paraId="5FAEF068" w:rsidR="005C1B59" w:rsidRPr="00DC4545" w:rsidRDefault="005C1B59" w:rsidP="005C1B59">
      <w:pPr>
        <w:spacing w:after="0" w:line="240" w:lineRule="auto"/>
        <w:rPr>
          <w:rFonts w:ascii="Times New Roman" w:hAnsi="Times New Roman" w:cs="Times New Roman"/>
          <w:b/>
          <w:u w:val="single"/>
        </w:rPr>
      </w:pPr>
      <w:r>
        <w:rPr>
          <w:rFonts w:ascii="Times New Roman" w:hAnsi="Times New Roman" w:cs="Times New Roman"/>
          <w:b/>
          <w:u w:val="single"/>
        </w:rPr>
        <w:t>P</w:t>
      </w:r>
      <w:r w:rsidRPr="00DC4545">
        <w:rPr>
          <w:rFonts w:ascii="Times New Roman" w:hAnsi="Times New Roman" w:cs="Times New Roman"/>
          <w:b/>
          <w:u w:val="single"/>
        </w:rPr>
        <w:t xml:space="preserve">roject </w:t>
      </w:r>
      <w:r>
        <w:rPr>
          <w:rFonts w:ascii="Times New Roman" w:hAnsi="Times New Roman" w:cs="Times New Roman"/>
          <w:b/>
          <w:u w:val="single"/>
        </w:rPr>
        <w:t>I</w:t>
      </w:r>
      <w:r w:rsidRPr="00DC4545">
        <w:rPr>
          <w:rFonts w:ascii="Times New Roman" w:hAnsi="Times New Roman" w:cs="Times New Roman"/>
          <w:b/>
          <w:u w:val="single"/>
        </w:rPr>
        <w:t>mplementation</w:t>
      </w:r>
    </w:p>
    <w:p w14:paraId="366139EB" w:rsidR="005C1B59" w:rsidRPr="00DC4545" w:rsidRDefault="005C1B59" w:rsidP="005C1B59">
      <w:pPr>
        <w:spacing w:after="0"/>
        <w:rPr>
          <w:rFonts w:ascii="Times New Roman" w:hAnsi="Times New Roman" w:cs="Times New Roman"/>
        </w:rPr>
      </w:pPr>
    </w:p>
    <w:p w14:paraId="62815AAC" w:rsidR="005C1B59" w:rsidRPr="00DC4545"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The a stakeholder participation plan ha</w:t>
      </w:r>
      <w:r>
        <w:rPr>
          <w:rFonts w:ascii="Times New Roman" w:hAnsi="Times New Roman" w:cs="Times New Roman"/>
        </w:rPr>
        <w:t>s</w:t>
      </w:r>
      <w:r w:rsidRPr="00DC4545">
        <w:rPr>
          <w:rFonts w:ascii="Times New Roman" w:hAnsi="Times New Roman" w:cs="Times New Roman"/>
        </w:rPr>
        <w:t xml:space="preserve"> the following objectives: </w:t>
      </w:r>
    </w:p>
    <w:p w14:paraId="7E74CF43" w:rsidR="005C1B59" w:rsidRPr="00042EF1" w:rsidRDefault="005C1B59" w:rsidP="00042EF1">
      <w:pPr>
        <w:spacing w:after="240" w:line="240" w:lineRule="auto"/>
        <w:ind w:left="720"/>
        <w:jc w:val="both"/>
        <w:rPr>
          <w:rFonts w:ascii="Times New Roman" w:hAnsi="Times New Roman" w:cs="Times New Roman"/>
        </w:rPr>
      </w:pPr>
      <w:r w:rsidRPr="00042EF1">
        <w:rPr>
          <w:rFonts w:ascii="Times New Roman" w:hAnsi="Times New Roman" w:cs="Times New Roman"/>
        </w:rPr>
        <w:t>To ensure full knowledge by those involved concerning the progress and obstacles in project development and to take advantage of the experience and skills of the participants to enhance project activities: (1) to clearly identity the basic roles and responsibilities of the main</w:t>
      </w:r>
      <w:r w:rsidR="00042EF1" w:rsidRPr="00042EF1">
        <w:rPr>
          <w:rFonts w:ascii="Times New Roman" w:hAnsi="Times New Roman" w:cs="Times New Roman"/>
        </w:rPr>
        <w:t xml:space="preserve"> participation in this project; and</w:t>
      </w:r>
      <w:r w:rsidRPr="00042EF1">
        <w:rPr>
          <w:rFonts w:ascii="Times New Roman" w:hAnsi="Times New Roman" w:cs="Times New Roman"/>
        </w:rPr>
        <w:t xml:space="preserve"> (2) identify the key instances in the project cycle where stakeholder involvement can occur. The ultimate purpose of the stakeholder participation plan is the long-term sustainability of the project achievements based on transparency and the effective participation of key stakeholders.</w:t>
      </w:r>
    </w:p>
    <w:p w14:paraId="23BD3776" w:rsidR="005C1B59" w:rsidRPr="00DC4545" w:rsidRDefault="005C1B59" w:rsidP="005C1B59">
      <w:pPr>
        <w:spacing w:after="0"/>
        <w:rPr>
          <w:rFonts w:ascii="Times New Roman" w:hAnsi="Times New Roman" w:cs="Times New Roman"/>
          <w:b/>
        </w:rPr>
      </w:pPr>
      <w:r w:rsidRPr="00DC4545">
        <w:rPr>
          <w:rFonts w:ascii="Times New Roman" w:hAnsi="Times New Roman" w:cs="Times New Roman"/>
          <w:b/>
        </w:rPr>
        <w:t xml:space="preserve">Participation Mechanism </w:t>
      </w:r>
    </w:p>
    <w:p w14:paraId="1E57D19B" w:rsidR="005C1B59" w:rsidRPr="00C319AA"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C319AA">
        <w:rPr>
          <w:rFonts w:ascii="Times New Roman" w:hAnsi="Times New Roman" w:cs="Times New Roman"/>
        </w:rPr>
        <w:t>Th</w:t>
      </w:r>
      <w:r w:rsidR="00042EF1">
        <w:rPr>
          <w:rFonts w:ascii="Times New Roman" w:hAnsi="Times New Roman" w:cs="Times New Roman"/>
        </w:rPr>
        <w:t>e three key phases for stakeholder</w:t>
      </w:r>
      <w:r w:rsidRPr="00C319AA">
        <w:rPr>
          <w:rFonts w:ascii="Times New Roman" w:hAnsi="Times New Roman" w:cs="Times New Roman"/>
        </w:rPr>
        <w:t xml:space="preserve"> participation </w:t>
      </w:r>
      <w:r w:rsidR="00042EF1">
        <w:rPr>
          <w:rFonts w:ascii="Times New Roman" w:hAnsi="Times New Roman" w:cs="Times New Roman"/>
        </w:rPr>
        <w:t>in</w:t>
      </w:r>
      <w:r w:rsidRPr="00C319AA">
        <w:rPr>
          <w:rFonts w:ascii="Times New Roman" w:hAnsi="Times New Roman" w:cs="Times New Roman"/>
        </w:rPr>
        <w:t xml:space="preserve"> the implementation phase of the project</w:t>
      </w:r>
      <w:r w:rsidR="00042EF1">
        <w:rPr>
          <w:rFonts w:ascii="Times New Roman" w:hAnsi="Times New Roman" w:cs="Times New Roman"/>
        </w:rPr>
        <w:t xml:space="preserve"> are</w:t>
      </w:r>
      <w:r w:rsidRPr="00C319AA">
        <w:rPr>
          <w:rFonts w:ascii="Times New Roman" w:hAnsi="Times New Roman" w:cs="Times New Roman"/>
        </w:rPr>
        <w:t xml:space="preserve"> planning</w:t>
      </w:r>
      <w:r>
        <w:rPr>
          <w:rFonts w:ascii="Times New Roman" w:hAnsi="Times New Roman" w:cs="Times New Roman"/>
        </w:rPr>
        <w:t>, implementation and evaluation:</w:t>
      </w:r>
    </w:p>
    <w:p w14:paraId="0BA92A63" w:rsidR="005C1B59" w:rsidRDefault="005C1B59" w:rsidP="00CA416F">
      <w:pPr>
        <w:pStyle w:val="NoSpacing"/>
        <w:numPr>
          <w:ilvl w:val="0"/>
          <w:numId w:val="67"/>
        </w:numPr>
        <w:spacing w:after="240"/>
        <w:jc w:val="both"/>
        <w:rPr>
          <w:rFonts w:ascii="Times New Roman" w:hAnsi="Times New Roman" w:cs="Times New Roman"/>
        </w:rPr>
      </w:pPr>
      <w:r w:rsidRPr="0027787B">
        <w:rPr>
          <w:rFonts w:ascii="Times New Roman" w:hAnsi="Times New Roman" w:cs="Times New Roman"/>
          <w:u w:val="single"/>
        </w:rPr>
        <w:t>Project planning</w:t>
      </w:r>
      <w:r w:rsidRPr="0027787B">
        <w:rPr>
          <w:rFonts w:ascii="Times New Roman" w:hAnsi="Times New Roman" w:cs="Times New Roman"/>
        </w:rPr>
        <w:t xml:space="preserve"> will include annual meetings with key PA stakeholder</w:t>
      </w:r>
      <w:r>
        <w:rPr>
          <w:rFonts w:ascii="Times New Roman" w:hAnsi="Times New Roman" w:cs="Times New Roman"/>
        </w:rPr>
        <w:t>s</w:t>
      </w:r>
      <w:r w:rsidRPr="0027787B">
        <w:rPr>
          <w:rFonts w:ascii="Times New Roman" w:hAnsi="Times New Roman" w:cs="Times New Roman"/>
        </w:rPr>
        <w:t xml:space="preserve"> (including members of the SC) during which annual goals will be set for each component of the project.  These annual planning meetings will also serve to specify the activities that are to be funded through each co-financing source.  </w:t>
      </w:r>
    </w:p>
    <w:p w14:paraId="2392C3E6" w:rsidR="005C1B59" w:rsidRDefault="005C1B59" w:rsidP="00CA416F">
      <w:pPr>
        <w:pStyle w:val="NoSpacing"/>
        <w:numPr>
          <w:ilvl w:val="0"/>
          <w:numId w:val="67"/>
        </w:numPr>
        <w:spacing w:after="240"/>
        <w:jc w:val="both"/>
        <w:rPr>
          <w:rFonts w:ascii="Times New Roman" w:hAnsi="Times New Roman" w:cs="Times New Roman"/>
        </w:rPr>
      </w:pPr>
      <w:r w:rsidRPr="0027787B">
        <w:rPr>
          <w:rFonts w:ascii="Times New Roman" w:hAnsi="Times New Roman" w:cs="Times New Roman"/>
          <w:u w:val="single"/>
        </w:rPr>
        <w:t>Project implementation</w:t>
      </w:r>
      <w:r w:rsidRPr="0027787B">
        <w:rPr>
          <w:rFonts w:ascii="Times New Roman" w:hAnsi="Times New Roman" w:cs="Times New Roman"/>
        </w:rPr>
        <w:t xml:space="preserve"> will take place according to the annual plans that are approved by the SC which will be formed by the following agencies: Ministry of Agriculture Lands, Forestry, Fisheries and Environment, Ministry of Tourism, and the UNDP sub-regional Office.  The UNDP sub-regional office will be the Executing Agency. Local stakeholders will have an additional mechanism to influence the project through a Local Steering Committee (LSC), which will consist of appointed members, and whose composition, responsibilities, and function will be determined by the stakeholders themselves.  The LSC will meet regularly to discuss the project’s progress and to communicate interests and concerns to the Project Coordinator.  The committee will also have a seat on the Project Board/Project Steering Committee.  Subject to confirmation at project inception, the LSC may also designate sub-committees to discuss specific issues such as the mainstreaming of gender considerations into project operations</w:t>
      </w:r>
      <w:r>
        <w:rPr>
          <w:rFonts w:ascii="Times New Roman" w:hAnsi="Times New Roman" w:cs="Times New Roman"/>
        </w:rPr>
        <w:t>.</w:t>
      </w:r>
      <w:r w:rsidRPr="0027787B">
        <w:rPr>
          <w:rFonts w:ascii="Times New Roman" w:hAnsi="Times New Roman" w:cs="Times New Roman"/>
        </w:rPr>
        <w:t xml:space="preserve"> </w:t>
      </w:r>
    </w:p>
    <w:p w14:paraId="1E388AEF" w:rsidR="005C1B59" w:rsidRDefault="005C1B59" w:rsidP="00CA416F">
      <w:pPr>
        <w:pStyle w:val="NoSpacing"/>
        <w:numPr>
          <w:ilvl w:val="0"/>
          <w:numId w:val="67"/>
        </w:numPr>
        <w:jc w:val="both"/>
        <w:rPr>
          <w:rFonts w:ascii="Times New Roman" w:hAnsi="Times New Roman" w:cs="Times New Roman"/>
        </w:rPr>
      </w:pPr>
      <w:r w:rsidRPr="0027787B">
        <w:rPr>
          <w:rFonts w:ascii="Times New Roman" w:hAnsi="Times New Roman" w:cs="Times New Roman"/>
          <w:u w:val="single"/>
        </w:rPr>
        <w:t>Project evaluation</w:t>
      </w:r>
      <w:r w:rsidRPr="0027787B">
        <w:rPr>
          <w:rFonts w:ascii="Times New Roman" w:hAnsi="Times New Roman" w:cs="Times New Roman"/>
        </w:rPr>
        <w:t xml:space="preserve"> will occur annually with the participation of key stakeholders at the end of each planning year and previous to defining the annual plan for the following year of project implementation. Also, Mid-term and final evaluations will be carried out as part of the project cycle.  Due to the independent nature of these evaluations, they will be key moments during the project’s life when stakeholders can express their views, concerns, and assess whether the project’s outcomes are being achieved and if necessary, define the course of correction. </w:t>
      </w:r>
    </w:p>
    <w:p w14:paraId="5D28B203" w:rsidR="00042EF1" w:rsidRPr="00042EF1" w:rsidRDefault="00042EF1" w:rsidP="00042EF1">
      <w:pPr>
        <w:pStyle w:val="NoSpacing"/>
        <w:ind w:left="720"/>
        <w:jc w:val="both"/>
        <w:rPr>
          <w:rFonts w:ascii="Times New Roman" w:hAnsi="Times New Roman" w:cs="Times New Roman"/>
        </w:rPr>
      </w:pPr>
    </w:p>
    <w:p w14:paraId="39FD0940" w:rsidR="005C1B59" w:rsidRPr="00DC4545"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 xml:space="preserve">It is envisaged that, </w:t>
      </w:r>
      <w:r w:rsidR="00042EF1">
        <w:rPr>
          <w:rFonts w:ascii="Times New Roman" w:hAnsi="Times New Roman" w:cs="Times New Roman"/>
        </w:rPr>
        <w:t>per</w:t>
      </w:r>
      <w:r w:rsidRPr="00DC4545">
        <w:rPr>
          <w:rFonts w:ascii="Times New Roman" w:hAnsi="Times New Roman" w:cs="Times New Roman"/>
        </w:rPr>
        <w:t xml:space="preserve"> UNDP procedures and practices</w:t>
      </w:r>
      <w:r>
        <w:rPr>
          <w:rFonts w:ascii="Times New Roman" w:hAnsi="Times New Roman" w:cs="Times New Roman"/>
        </w:rPr>
        <w:t>,</w:t>
      </w:r>
      <w:r w:rsidRPr="00DC4545">
        <w:rPr>
          <w:rFonts w:ascii="Times New Roman" w:hAnsi="Times New Roman" w:cs="Times New Roman"/>
        </w:rPr>
        <w:t xml:space="preserve"> the project must be managed by a practices board or project steering committee constituted by UNDP and senior services providers as an external project management body</w:t>
      </w:r>
      <w:r>
        <w:rPr>
          <w:rFonts w:ascii="Times New Roman" w:hAnsi="Times New Roman" w:cs="Times New Roman"/>
        </w:rPr>
        <w:t>. Given that</w:t>
      </w:r>
      <w:r w:rsidRPr="00DC4545">
        <w:rPr>
          <w:rFonts w:ascii="Times New Roman" w:hAnsi="Times New Roman" w:cs="Times New Roman"/>
        </w:rPr>
        <w:t xml:space="preserve"> UNDP will treat project implementation as a partnership and allow the local executing agency</w:t>
      </w:r>
      <w:r>
        <w:rPr>
          <w:rFonts w:ascii="Times New Roman" w:hAnsi="Times New Roman" w:cs="Times New Roman"/>
        </w:rPr>
        <w:t>,</w:t>
      </w:r>
      <w:r w:rsidRPr="00DC4545">
        <w:rPr>
          <w:rFonts w:ascii="Times New Roman" w:hAnsi="Times New Roman" w:cs="Times New Roman"/>
        </w:rPr>
        <w:t xml:space="preserve"> Ministry of Agriculture, Lands, Forestry, Fisheries and Environment</w:t>
      </w:r>
      <w:r w:rsidR="00D53640">
        <w:rPr>
          <w:rFonts w:ascii="Times New Roman" w:hAnsi="Times New Roman" w:cs="Times New Roman"/>
        </w:rPr>
        <w:t>,</w:t>
      </w:r>
      <w:r w:rsidRPr="00DC4545">
        <w:rPr>
          <w:rFonts w:ascii="Times New Roman" w:hAnsi="Times New Roman" w:cs="Times New Roman"/>
        </w:rPr>
        <w:t xml:space="preserve"> to adopt </w:t>
      </w:r>
      <w:r>
        <w:rPr>
          <w:rFonts w:ascii="Times New Roman" w:hAnsi="Times New Roman" w:cs="Times New Roman"/>
        </w:rPr>
        <w:t>a management mechanism</w:t>
      </w:r>
      <w:r w:rsidRPr="00DC4545">
        <w:rPr>
          <w:rFonts w:ascii="Times New Roman" w:hAnsi="Times New Roman" w:cs="Times New Roman"/>
        </w:rPr>
        <w:t xml:space="preserve"> </w:t>
      </w:r>
      <w:r>
        <w:rPr>
          <w:rFonts w:ascii="Times New Roman" w:hAnsi="Times New Roman" w:cs="Times New Roman"/>
        </w:rPr>
        <w:t xml:space="preserve">that is </w:t>
      </w:r>
      <w:r w:rsidRPr="00DC4545">
        <w:rPr>
          <w:rFonts w:ascii="Times New Roman" w:hAnsi="Times New Roman" w:cs="Times New Roman"/>
        </w:rPr>
        <w:t>consistent with that of UNDP, then this local executing agency may set up a local steering committee to advise the project board through the local executing agency. This local steering committee may be set up constituting of representatives of MALFFE (chair), Ministry of Finance/Planning, Min</w:t>
      </w:r>
      <w:r>
        <w:rPr>
          <w:rFonts w:ascii="Times New Roman" w:hAnsi="Times New Roman" w:cs="Times New Roman"/>
        </w:rPr>
        <w:t>istry of Tourism, IAGDO and CBO</w:t>
      </w:r>
      <w:r w:rsidRPr="00DC4545">
        <w:rPr>
          <w:rFonts w:ascii="Times New Roman" w:hAnsi="Times New Roman" w:cs="Times New Roman"/>
        </w:rPr>
        <w:t xml:space="preserve"> representative</w:t>
      </w:r>
      <w:r>
        <w:rPr>
          <w:rFonts w:ascii="Times New Roman" w:hAnsi="Times New Roman" w:cs="Times New Roman"/>
        </w:rPr>
        <w:t>s</w:t>
      </w:r>
      <w:r w:rsidRPr="00DC4545">
        <w:rPr>
          <w:rFonts w:ascii="Times New Roman" w:hAnsi="Times New Roman" w:cs="Times New Roman"/>
        </w:rPr>
        <w:t>.  The project evaluation will occur annually with the participation of key stakeholders at the end of each year and before defining the annual work plan for the following year of project implementation.  There will also be mid-term and final evaluation that will be carried out as part of the project cycle. Since the evaluation process will be an independent exercise, opportunity will be given for all stakeholders to express their views; concerns and assessing whether the projects outcomes were being achieved and if required suggest a change in the course of action.</w:t>
      </w:r>
    </w:p>
    <w:p w14:paraId="5DCB9E7F" w:rsidR="005C1B59" w:rsidRPr="00DC4545"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It is therefore important that the views of the local steering committee b</w:t>
      </w:r>
      <w:r w:rsidR="00D53640">
        <w:rPr>
          <w:rFonts w:ascii="Times New Roman" w:hAnsi="Times New Roman" w:cs="Times New Roman"/>
        </w:rPr>
        <w:t>e</w:t>
      </w:r>
      <w:r w:rsidRPr="00DC4545">
        <w:rPr>
          <w:rFonts w:ascii="Times New Roman" w:hAnsi="Times New Roman" w:cs="Times New Roman"/>
        </w:rPr>
        <w:t xml:space="preserve"> communicated to the project board/steering committee as a formatted documented response to questions and that such documentation be transparently communicated.  Such a mechanism will allow for meaningful and focused periodic evaluations by both project management and stakeholders.</w:t>
      </w:r>
    </w:p>
    <w:p w14:paraId="10597D93" w:rsidR="005C1B59" w:rsidRPr="00937F07" w:rsidRDefault="005C1B59"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937F07">
        <w:rPr>
          <w:rFonts w:ascii="Times New Roman" w:hAnsi="Times New Roman" w:cs="Times New Roman"/>
        </w:rPr>
        <w:t xml:space="preserve">This Grenada Ridge to Reef project will be using the technical services of baseline recurrent programs while not having a technical support unit of its own.  By design, the GEF core funding together with committed support of grant-aid agencies will act as incremental support to the baseline initiatives for the purpose of implementing activities in support of conservation and management of the BD and ecosystems functions within and around PA that would be enhanced and expanded. </w:t>
      </w:r>
    </w:p>
    <w:p w14:paraId="7C3D449F" w:rsidR="005C1B59" w:rsidRPr="00DC4545" w:rsidRDefault="005C1B59" w:rsidP="00042EF1">
      <w:pPr>
        <w:jc w:val="center"/>
        <w:rPr>
          <w:rFonts w:ascii="Times New Roman" w:hAnsi="Times New Roman" w:cs="Times New Roman"/>
          <w:b/>
        </w:rPr>
      </w:pPr>
      <w:r w:rsidRPr="00DC4545">
        <w:rPr>
          <w:rFonts w:ascii="Times New Roman" w:hAnsi="Times New Roman" w:cs="Times New Roman"/>
          <w:b/>
        </w:rPr>
        <w:t>Summary of Stakeholders Roles in Project Implementation</w:t>
      </w:r>
    </w:p>
    <w:tbl>
      <w:tblPr>
        <w:tblStyle w:val="TableGrid"/>
        <w:tblW w:w="10406" w:type="dxa"/>
        <w:jc w:val="center"/>
        <w:tblLook w:val="04A0" w:firstRow="1" w:lastRow="0" w:firstColumn="1" w:lastColumn="0" w:noHBand="0" w:noVBand="1"/>
      </w:tblPr>
      <w:tblGrid>
        <w:gridCol w:w="5203"/>
        <w:gridCol w:w="5203"/>
      </w:tblGrid>
      <w:tr w14:paraId="471141A5" w:rsidR="005C1B59" w:rsidRPr="00042EF1" w:rsidTr="0042567A">
        <w:trPr>
          <w:trHeight w:val="307"/>
          <w:jc w:val="center"/>
        </w:trPr>
        <w:tc>
          <w:tcPr>
            <w:tcW w:w="5203" w:type="dxa"/>
          </w:tcPr>
          <w:p w14:paraId="0B2E6508" w:rsidR="005C1B59" w:rsidRPr="00042EF1" w:rsidRDefault="005C1B59" w:rsidP="0042567A">
            <w:pPr>
              <w:rPr>
                <w:rFonts w:ascii="Times New Roman" w:hAnsi="Times New Roman" w:cs="Times New Roman"/>
                <w:b/>
                <w:sz w:val="20"/>
                <w:szCs w:val="20"/>
              </w:rPr>
            </w:pPr>
            <w:r w:rsidRPr="00042EF1">
              <w:rPr>
                <w:rFonts w:ascii="Times New Roman" w:hAnsi="Times New Roman" w:cs="Times New Roman"/>
                <w:b/>
                <w:sz w:val="20"/>
                <w:szCs w:val="20"/>
              </w:rPr>
              <w:t xml:space="preserve">Stakeholders </w:t>
            </w:r>
          </w:p>
        </w:tc>
        <w:tc>
          <w:tcPr>
            <w:tcW w:w="5203" w:type="dxa"/>
          </w:tcPr>
          <w:p w14:paraId="3D7D929D" w:rsidR="005C1B59" w:rsidRPr="00042EF1" w:rsidRDefault="005C1B59" w:rsidP="0042567A">
            <w:pPr>
              <w:rPr>
                <w:rFonts w:ascii="Times New Roman" w:hAnsi="Times New Roman" w:cs="Times New Roman"/>
                <w:b/>
                <w:sz w:val="20"/>
                <w:szCs w:val="20"/>
              </w:rPr>
            </w:pPr>
            <w:r w:rsidRPr="00042EF1">
              <w:rPr>
                <w:rFonts w:ascii="Times New Roman" w:hAnsi="Times New Roman" w:cs="Times New Roman"/>
                <w:b/>
                <w:sz w:val="20"/>
                <w:szCs w:val="20"/>
              </w:rPr>
              <w:t>Projects Implementation Role</w:t>
            </w:r>
          </w:p>
        </w:tc>
      </w:tr>
      <w:tr w14:paraId="2722B949" w:rsidR="005C1B59" w:rsidRPr="00042EF1" w:rsidTr="0042567A">
        <w:trPr>
          <w:trHeight w:val="440"/>
          <w:jc w:val="center"/>
        </w:trPr>
        <w:tc>
          <w:tcPr>
            <w:tcW w:w="5203" w:type="dxa"/>
          </w:tcPr>
          <w:p w14:paraId="594FC155"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Ministry of Agriculture Lands, Forestry, Fisheries, and Environment</w:t>
            </w:r>
            <w:r w:rsidR="00D53640">
              <w:rPr>
                <w:rFonts w:ascii="Times New Roman" w:hAnsi="Times New Roman" w:cs="Times New Roman"/>
                <w:sz w:val="20"/>
                <w:szCs w:val="20"/>
              </w:rPr>
              <w:t xml:space="preserve"> (</w:t>
            </w:r>
            <w:r w:rsidRPr="00042EF1">
              <w:rPr>
                <w:rFonts w:ascii="Times New Roman" w:hAnsi="Times New Roman" w:cs="Times New Roman"/>
                <w:sz w:val="20"/>
                <w:szCs w:val="20"/>
              </w:rPr>
              <w:t>MLFFE</w:t>
            </w:r>
            <w:r w:rsidR="00D53640">
              <w:rPr>
                <w:rFonts w:ascii="Times New Roman" w:hAnsi="Times New Roman" w:cs="Times New Roman"/>
                <w:sz w:val="20"/>
                <w:szCs w:val="20"/>
              </w:rPr>
              <w:t>)</w:t>
            </w:r>
          </w:p>
          <w:p w14:paraId="37C2DF27" w:rsidR="005C1B59" w:rsidRPr="00042EF1" w:rsidRDefault="005C1B59" w:rsidP="0042567A">
            <w:pPr>
              <w:rPr>
                <w:rFonts w:ascii="Times New Roman" w:hAnsi="Times New Roman" w:cs="Times New Roman"/>
                <w:sz w:val="20"/>
                <w:szCs w:val="20"/>
              </w:rPr>
            </w:pPr>
          </w:p>
          <w:p w14:paraId="1514129E" w:rsidR="005C1B59" w:rsidRPr="00042EF1" w:rsidRDefault="005C1B59" w:rsidP="0042567A">
            <w:pPr>
              <w:rPr>
                <w:rFonts w:ascii="Times New Roman" w:hAnsi="Times New Roman" w:cs="Times New Roman"/>
                <w:sz w:val="20"/>
                <w:szCs w:val="20"/>
              </w:rPr>
            </w:pPr>
          </w:p>
          <w:p w14:paraId="7CF0337F" w:rsidR="005C1B59" w:rsidRPr="00042EF1" w:rsidRDefault="005C1B59" w:rsidP="0042567A">
            <w:pPr>
              <w:rPr>
                <w:rFonts w:ascii="Times New Roman" w:hAnsi="Times New Roman" w:cs="Times New Roman"/>
                <w:sz w:val="20"/>
                <w:szCs w:val="20"/>
              </w:rPr>
            </w:pPr>
          </w:p>
          <w:p w14:paraId="46E34984" w:rsidR="005C1B59" w:rsidRPr="00042EF1" w:rsidRDefault="005C1B59" w:rsidP="0042567A">
            <w:pPr>
              <w:rPr>
                <w:rFonts w:ascii="Times New Roman" w:hAnsi="Times New Roman" w:cs="Times New Roman"/>
                <w:sz w:val="20"/>
                <w:szCs w:val="20"/>
              </w:rPr>
            </w:pPr>
          </w:p>
          <w:p w14:paraId="3FEC1BD4"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Forestry and National Parks Department(FNPD)</w:t>
            </w:r>
          </w:p>
          <w:p w14:paraId="70153DFD" w:rsidR="005C1B59" w:rsidRPr="00042EF1" w:rsidRDefault="005C1B59" w:rsidP="0042567A">
            <w:pPr>
              <w:rPr>
                <w:rFonts w:ascii="Times New Roman" w:hAnsi="Times New Roman" w:cs="Times New Roman"/>
                <w:sz w:val="20"/>
                <w:szCs w:val="20"/>
              </w:rPr>
            </w:pPr>
          </w:p>
          <w:p w14:paraId="7DEA4164" w:rsidR="005C1B59" w:rsidRPr="00042EF1" w:rsidRDefault="005C1B59" w:rsidP="0042567A">
            <w:pPr>
              <w:rPr>
                <w:rFonts w:ascii="Times New Roman" w:hAnsi="Times New Roman" w:cs="Times New Roman"/>
                <w:sz w:val="20"/>
                <w:szCs w:val="20"/>
              </w:rPr>
            </w:pPr>
          </w:p>
          <w:p w14:paraId="4594870C" w:rsidR="005C1B59" w:rsidRPr="00042EF1" w:rsidRDefault="005C1B59" w:rsidP="0042567A">
            <w:pPr>
              <w:rPr>
                <w:rFonts w:ascii="Times New Roman" w:hAnsi="Times New Roman" w:cs="Times New Roman"/>
                <w:sz w:val="20"/>
                <w:szCs w:val="20"/>
              </w:rPr>
            </w:pPr>
          </w:p>
          <w:p w14:paraId="3BB52623" w:rsidR="005C1B59" w:rsidRPr="00042EF1" w:rsidRDefault="005C1B59" w:rsidP="0042567A">
            <w:pPr>
              <w:rPr>
                <w:rFonts w:ascii="Times New Roman" w:hAnsi="Times New Roman" w:cs="Times New Roman"/>
                <w:sz w:val="20"/>
                <w:szCs w:val="20"/>
              </w:rPr>
            </w:pPr>
          </w:p>
          <w:p w14:paraId="3AAF3178" w:rsidR="005C1B59" w:rsidRPr="00042EF1" w:rsidRDefault="005C1B59" w:rsidP="0042567A">
            <w:pPr>
              <w:rPr>
                <w:rFonts w:ascii="Times New Roman" w:hAnsi="Times New Roman" w:cs="Times New Roman"/>
                <w:sz w:val="20"/>
                <w:szCs w:val="20"/>
              </w:rPr>
            </w:pPr>
          </w:p>
          <w:p w14:paraId="1C44FCDE" w:rsidR="005C1B59" w:rsidRPr="00042EF1" w:rsidRDefault="005C1B59" w:rsidP="0042567A">
            <w:pPr>
              <w:rPr>
                <w:rFonts w:ascii="Times New Roman" w:hAnsi="Times New Roman" w:cs="Times New Roman"/>
                <w:sz w:val="20"/>
                <w:szCs w:val="20"/>
              </w:rPr>
            </w:pPr>
          </w:p>
          <w:p w14:paraId="0AE01A23" w:rsidR="005C1B59" w:rsidRPr="00042EF1" w:rsidRDefault="005C1B59" w:rsidP="0042567A">
            <w:pPr>
              <w:rPr>
                <w:rFonts w:ascii="Times New Roman" w:hAnsi="Times New Roman" w:cs="Times New Roman"/>
                <w:sz w:val="20"/>
                <w:szCs w:val="20"/>
              </w:rPr>
            </w:pPr>
          </w:p>
          <w:p w14:paraId="542CC97E" w:rsidR="005C1B59" w:rsidRPr="00042EF1" w:rsidRDefault="005C1B59" w:rsidP="0042567A">
            <w:pPr>
              <w:rPr>
                <w:rFonts w:ascii="Times New Roman" w:hAnsi="Times New Roman" w:cs="Times New Roman"/>
                <w:sz w:val="20"/>
                <w:szCs w:val="20"/>
              </w:rPr>
            </w:pPr>
          </w:p>
          <w:p w14:paraId="1508815E" w:rsidR="00042EF1" w:rsidRDefault="00042EF1" w:rsidP="0042567A">
            <w:pPr>
              <w:rPr>
                <w:rFonts w:ascii="Times New Roman" w:hAnsi="Times New Roman" w:cs="Times New Roman"/>
                <w:sz w:val="20"/>
                <w:szCs w:val="20"/>
              </w:rPr>
            </w:pPr>
          </w:p>
          <w:p w14:paraId="1AFEB194" w:rsidR="00042EF1" w:rsidRDefault="00042EF1" w:rsidP="0042567A">
            <w:pPr>
              <w:rPr>
                <w:rFonts w:ascii="Times New Roman" w:hAnsi="Times New Roman" w:cs="Times New Roman"/>
                <w:sz w:val="20"/>
                <w:szCs w:val="20"/>
              </w:rPr>
            </w:pPr>
          </w:p>
          <w:p w14:paraId="43380C78"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Land Use Division(LUD)</w:t>
            </w:r>
          </w:p>
          <w:p w14:paraId="7D665C84" w:rsidR="005C1B59" w:rsidRPr="00042EF1" w:rsidRDefault="005C1B59" w:rsidP="0042567A">
            <w:pPr>
              <w:rPr>
                <w:rFonts w:ascii="Times New Roman" w:hAnsi="Times New Roman" w:cs="Times New Roman"/>
                <w:sz w:val="20"/>
                <w:szCs w:val="20"/>
              </w:rPr>
            </w:pPr>
          </w:p>
          <w:p w14:paraId="5A39F7F0" w:rsidR="005C1B59" w:rsidRPr="00042EF1" w:rsidRDefault="005C1B59" w:rsidP="0042567A">
            <w:pPr>
              <w:rPr>
                <w:rFonts w:ascii="Times New Roman" w:hAnsi="Times New Roman" w:cs="Times New Roman"/>
                <w:sz w:val="20"/>
                <w:szCs w:val="20"/>
              </w:rPr>
            </w:pPr>
          </w:p>
          <w:p w14:paraId="356F7CD1" w:rsidR="005C1B59" w:rsidRPr="00042EF1" w:rsidRDefault="005C1B59" w:rsidP="0042567A">
            <w:pPr>
              <w:rPr>
                <w:rFonts w:ascii="Times New Roman" w:hAnsi="Times New Roman" w:cs="Times New Roman"/>
                <w:sz w:val="20"/>
                <w:szCs w:val="20"/>
              </w:rPr>
            </w:pPr>
          </w:p>
          <w:p w14:paraId="08396AEE" w:rsidR="005C1B59" w:rsidRPr="00042EF1" w:rsidRDefault="005C1B59" w:rsidP="0042567A">
            <w:pPr>
              <w:rPr>
                <w:rFonts w:ascii="Times New Roman" w:hAnsi="Times New Roman" w:cs="Times New Roman"/>
                <w:sz w:val="20"/>
                <w:szCs w:val="20"/>
              </w:rPr>
            </w:pPr>
          </w:p>
          <w:p w14:paraId="4FAEC0F2" w:rsidR="005C1B59" w:rsidRPr="00042EF1" w:rsidRDefault="005C1B59" w:rsidP="0042567A">
            <w:pPr>
              <w:rPr>
                <w:rFonts w:ascii="Times New Roman" w:hAnsi="Times New Roman" w:cs="Times New Roman"/>
                <w:sz w:val="20"/>
                <w:szCs w:val="20"/>
              </w:rPr>
            </w:pPr>
          </w:p>
          <w:p w14:paraId="086A6729" w:rsidR="005C1B59" w:rsidRPr="00042EF1" w:rsidRDefault="005C1B59" w:rsidP="0042567A">
            <w:pPr>
              <w:rPr>
                <w:rFonts w:ascii="Times New Roman" w:hAnsi="Times New Roman" w:cs="Times New Roman"/>
                <w:sz w:val="20"/>
                <w:szCs w:val="20"/>
              </w:rPr>
            </w:pPr>
          </w:p>
          <w:p w14:paraId="5FA1FC1D" w:rsidR="00042EF1" w:rsidRDefault="00042EF1" w:rsidP="0042567A">
            <w:pPr>
              <w:rPr>
                <w:rFonts w:ascii="Times New Roman" w:hAnsi="Times New Roman" w:cs="Times New Roman"/>
                <w:sz w:val="20"/>
                <w:szCs w:val="20"/>
              </w:rPr>
            </w:pPr>
          </w:p>
          <w:p w14:paraId="0FCF5874" w:rsidR="00042EF1" w:rsidRDefault="00042EF1" w:rsidP="0042567A">
            <w:pPr>
              <w:rPr>
                <w:rFonts w:ascii="Times New Roman" w:hAnsi="Times New Roman" w:cs="Times New Roman"/>
                <w:sz w:val="20"/>
                <w:szCs w:val="20"/>
              </w:rPr>
            </w:pPr>
          </w:p>
          <w:p w14:paraId="0F136C55"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Agricultural Extension Division (AED)</w:t>
            </w:r>
          </w:p>
          <w:p w14:paraId="6F1EB10C" w:rsidR="005C1B59" w:rsidRPr="00042EF1" w:rsidRDefault="005C1B59" w:rsidP="0042567A">
            <w:pPr>
              <w:rPr>
                <w:rFonts w:ascii="Times New Roman" w:hAnsi="Times New Roman" w:cs="Times New Roman"/>
                <w:sz w:val="20"/>
                <w:szCs w:val="20"/>
              </w:rPr>
            </w:pPr>
          </w:p>
          <w:p w14:paraId="11DE5991" w:rsidR="005C1B59" w:rsidRPr="00042EF1" w:rsidRDefault="005C1B59" w:rsidP="0042567A">
            <w:pPr>
              <w:rPr>
                <w:rFonts w:ascii="Times New Roman" w:hAnsi="Times New Roman" w:cs="Times New Roman"/>
                <w:sz w:val="20"/>
                <w:szCs w:val="20"/>
              </w:rPr>
            </w:pPr>
          </w:p>
          <w:p w14:paraId="23714A2A" w:rsidR="005C1B59" w:rsidRPr="00042EF1" w:rsidRDefault="005C1B59" w:rsidP="0042567A">
            <w:pPr>
              <w:rPr>
                <w:rFonts w:ascii="Times New Roman" w:hAnsi="Times New Roman" w:cs="Times New Roman"/>
                <w:sz w:val="20"/>
                <w:szCs w:val="20"/>
              </w:rPr>
            </w:pPr>
          </w:p>
          <w:p w14:paraId="1732905B" w:rsidR="005C1B59" w:rsidRPr="00042EF1" w:rsidRDefault="005C1B59" w:rsidP="0042567A">
            <w:pPr>
              <w:rPr>
                <w:rFonts w:ascii="Times New Roman" w:hAnsi="Times New Roman" w:cs="Times New Roman"/>
                <w:sz w:val="20"/>
                <w:szCs w:val="20"/>
              </w:rPr>
            </w:pPr>
          </w:p>
          <w:p w14:paraId="07947675" w:rsidR="005C1B59" w:rsidRPr="00042EF1" w:rsidRDefault="005C1B59" w:rsidP="0042567A">
            <w:pPr>
              <w:rPr>
                <w:rFonts w:ascii="Times New Roman" w:hAnsi="Times New Roman" w:cs="Times New Roman"/>
                <w:sz w:val="20"/>
                <w:szCs w:val="20"/>
              </w:rPr>
            </w:pPr>
          </w:p>
          <w:p w14:paraId="5F3FC63D" w:rsidR="005C1B59" w:rsidRPr="00042EF1" w:rsidRDefault="005C1B59" w:rsidP="0042567A">
            <w:pPr>
              <w:rPr>
                <w:rFonts w:ascii="Times New Roman" w:hAnsi="Times New Roman" w:cs="Times New Roman"/>
                <w:sz w:val="20"/>
                <w:szCs w:val="20"/>
              </w:rPr>
            </w:pPr>
          </w:p>
          <w:p w14:paraId="5EFF5C1E" w:rsidR="005C1B59" w:rsidRDefault="005C1B59" w:rsidP="0042567A">
            <w:pPr>
              <w:rPr>
                <w:rFonts w:ascii="Times New Roman" w:hAnsi="Times New Roman" w:cs="Times New Roman"/>
                <w:sz w:val="20"/>
                <w:szCs w:val="20"/>
              </w:rPr>
            </w:pPr>
          </w:p>
          <w:p w14:paraId="24202151" w:rsidR="00042EF1" w:rsidRPr="00042EF1" w:rsidRDefault="00042EF1" w:rsidP="0042567A">
            <w:pPr>
              <w:rPr>
                <w:rFonts w:ascii="Times New Roman" w:hAnsi="Times New Roman" w:cs="Times New Roman"/>
                <w:sz w:val="20"/>
                <w:szCs w:val="20"/>
              </w:rPr>
            </w:pPr>
          </w:p>
          <w:p w14:paraId="6B2692EE"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Agronomy and Veterinary Division (A/VD)</w:t>
            </w:r>
          </w:p>
          <w:p w14:paraId="1ACDF138" w:rsidR="005C1B59" w:rsidRPr="00042EF1" w:rsidRDefault="005C1B59" w:rsidP="0042567A">
            <w:pPr>
              <w:rPr>
                <w:rFonts w:ascii="Times New Roman" w:hAnsi="Times New Roman" w:cs="Times New Roman"/>
                <w:sz w:val="20"/>
                <w:szCs w:val="20"/>
              </w:rPr>
            </w:pPr>
          </w:p>
          <w:p w14:paraId="28C720D9" w:rsidR="005C1B59" w:rsidRPr="00042EF1" w:rsidRDefault="005C1B59" w:rsidP="0042567A">
            <w:pPr>
              <w:rPr>
                <w:rFonts w:ascii="Times New Roman" w:hAnsi="Times New Roman" w:cs="Times New Roman"/>
                <w:sz w:val="20"/>
                <w:szCs w:val="20"/>
              </w:rPr>
            </w:pPr>
          </w:p>
          <w:p w14:paraId="62BEBCE8" w:rsidR="005C1B59" w:rsidRPr="00042EF1" w:rsidRDefault="005C1B59" w:rsidP="0042567A">
            <w:pPr>
              <w:rPr>
                <w:rFonts w:ascii="Times New Roman" w:hAnsi="Times New Roman" w:cs="Times New Roman"/>
                <w:sz w:val="20"/>
                <w:szCs w:val="20"/>
              </w:rPr>
            </w:pPr>
          </w:p>
          <w:p w14:paraId="6F7DF066" w:rsidR="005C1B59" w:rsidRDefault="005C1B59" w:rsidP="0042567A">
            <w:pPr>
              <w:rPr>
                <w:rFonts w:ascii="Times New Roman" w:hAnsi="Times New Roman" w:cs="Times New Roman"/>
                <w:sz w:val="20"/>
                <w:szCs w:val="20"/>
              </w:rPr>
            </w:pPr>
          </w:p>
          <w:p w14:paraId="22953ED8" w:rsidR="00042EF1" w:rsidRPr="00042EF1" w:rsidRDefault="00042EF1" w:rsidP="0042567A">
            <w:pPr>
              <w:rPr>
                <w:rFonts w:ascii="Times New Roman" w:hAnsi="Times New Roman" w:cs="Times New Roman"/>
                <w:sz w:val="20"/>
                <w:szCs w:val="20"/>
              </w:rPr>
            </w:pPr>
          </w:p>
          <w:p w14:paraId="0E5F9146" w:rsidR="005C1B59" w:rsidRPr="00042EF1" w:rsidRDefault="005C1B59" w:rsidP="0042567A">
            <w:pPr>
              <w:rPr>
                <w:rFonts w:ascii="Times New Roman" w:hAnsi="Times New Roman" w:cs="Times New Roman"/>
                <w:sz w:val="20"/>
                <w:szCs w:val="20"/>
              </w:rPr>
            </w:pPr>
          </w:p>
          <w:p w14:paraId="25D2F611"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Marketing and National Importing Board (MNIB)</w:t>
            </w:r>
          </w:p>
          <w:p w14:paraId="58C34A8E" w:rsidR="005C1B59" w:rsidRPr="00042EF1" w:rsidRDefault="005C1B59" w:rsidP="0042567A">
            <w:pPr>
              <w:rPr>
                <w:rFonts w:ascii="Times New Roman" w:hAnsi="Times New Roman" w:cs="Times New Roman"/>
                <w:sz w:val="20"/>
                <w:szCs w:val="20"/>
              </w:rPr>
            </w:pPr>
          </w:p>
          <w:p w14:paraId="4FF4043F" w:rsidR="005C1B59" w:rsidRPr="00042EF1" w:rsidRDefault="005C1B59" w:rsidP="0042567A">
            <w:pPr>
              <w:rPr>
                <w:rFonts w:ascii="Times New Roman" w:hAnsi="Times New Roman" w:cs="Times New Roman"/>
                <w:sz w:val="20"/>
                <w:szCs w:val="20"/>
              </w:rPr>
            </w:pPr>
          </w:p>
          <w:p w14:paraId="68E3926D" w:rsidR="005C1B59" w:rsidRPr="00042EF1" w:rsidRDefault="005C1B59" w:rsidP="0042567A">
            <w:pPr>
              <w:rPr>
                <w:rFonts w:ascii="Times New Roman" w:hAnsi="Times New Roman" w:cs="Times New Roman"/>
                <w:sz w:val="20"/>
                <w:szCs w:val="20"/>
              </w:rPr>
            </w:pPr>
          </w:p>
          <w:p w14:paraId="01F38E11" w:rsidR="005C1B59" w:rsidRDefault="005C1B59" w:rsidP="0042567A">
            <w:pPr>
              <w:rPr>
                <w:rFonts w:ascii="Times New Roman" w:hAnsi="Times New Roman" w:cs="Times New Roman"/>
                <w:sz w:val="20"/>
                <w:szCs w:val="20"/>
              </w:rPr>
            </w:pPr>
          </w:p>
          <w:p w14:paraId="524897E0" w:rsidR="00042EF1" w:rsidRDefault="00042EF1" w:rsidP="0042567A">
            <w:pPr>
              <w:rPr>
                <w:rFonts w:ascii="Times New Roman" w:hAnsi="Times New Roman" w:cs="Times New Roman"/>
                <w:sz w:val="20"/>
                <w:szCs w:val="20"/>
              </w:rPr>
            </w:pPr>
          </w:p>
          <w:p w14:paraId="65D03FC1" w:rsidR="00042EF1" w:rsidRPr="00042EF1" w:rsidRDefault="00042EF1" w:rsidP="0042567A">
            <w:pPr>
              <w:rPr>
                <w:rFonts w:ascii="Times New Roman" w:hAnsi="Times New Roman" w:cs="Times New Roman"/>
                <w:sz w:val="20"/>
                <w:szCs w:val="20"/>
              </w:rPr>
            </w:pPr>
          </w:p>
          <w:p w14:paraId="48C31D21" w:rsidR="005C1B59" w:rsidRPr="00042EF1" w:rsidRDefault="005C1B59" w:rsidP="0042567A">
            <w:pPr>
              <w:rPr>
                <w:rFonts w:ascii="Times New Roman" w:hAnsi="Times New Roman" w:cs="Times New Roman"/>
                <w:sz w:val="20"/>
                <w:szCs w:val="20"/>
              </w:rPr>
            </w:pPr>
          </w:p>
          <w:p w14:paraId="755ACBFE"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Fisheries Division (FD)</w:t>
            </w:r>
          </w:p>
          <w:p w14:paraId="39053827" w:rsidR="005C1B59" w:rsidRPr="00042EF1" w:rsidRDefault="005C1B59" w:rsidP="0042567A">
            <w:pPr>
              <w:rPr>
                <w:rFonts w:ascii="Times New Roman" w:hAnsi="Times New Roman" w:cs="Times New Roman"/>
                <w:sz w:val="20"/>
                <w:szCs w:val="20"/>
              </w:rPr>
            </w:pPr>
          </w:p>
          <w:p w14:paraId="49AAE520" w:rsidR="005C1B59" w:rsidRPr="00042EF1" w:rsidRDefault="005C1B59" w:rsidP="0042567A">
            <w:pPr>
              <w:rPr>
                <w:rFonts w:ascii="Times New Roman" w:hAnsi="Times New Roman" w:cs="Times New Roman"/>
                <w:sz w:val="20"/>
                <w:szCs w:val="20"/>
              </w:rPr>
            </w:pPr>
          </w:p>
          <w:p w14:paraId="30F46D17" w:rsidR="005C1B59" w:rsidRPr="00042EF1" w:rsidRDefault="005C1B59" w:rsidP="0042567A">
            <w:pPr>
              <w:rPr>
                <w:rFonts w:ascii="Times New Roman" w:hAnsi="Times New Roman" w:cs="Times New Roman"/>
                <w:sz w:val="20"/>
                <w:szCs w:val="20"/>
              </w:rPr>
            </w:pPr>
          </w:p>
          <w:p w14:paraId="080E15CC" w:rsidR="005C1B59" w:rsidRPr="00042EF1" w:rsidRDefault="005C1B59" w:rsidP="0042567A">
            <w:pPr>
              <w:rPr>
                <w:rFonts w:ascii="Times New Roman" w:hAnsi="Times New Roman" w:cs="Times New Roman"/>
                <w:sz w:val="20"/>
                <w:szCs w:val="20"/>
              </w:rPr>
            </w:pPr>
          </w:p>
          <w:p w14:paraId="1EE94E5B" w:rsidR="005C1B59" w:rsidRPr="00042EF1" w:rsidRDefault="005C1B59" w:rsidP="0042567A">
            <w:pPr>
              <w:rPr>
                <w:rFonts w:ascii="Times New Roman" w:hAnsi="Times New Roman" w:cs="Times New Roman"/>
                <w:sz w:val="20"/>
                <w:szCs w:val="20"/>
              </w:rPr>
            </w:pPr>
          </w:p>
          <w:p w14:paraId="09A10063" w:rsidR="005C1B59" w:rsidRPr="00042EF1" w:rsidRDefault="005C1B59" w:rsidP="0042567A">
            <w:pPr>
              <w:rPr>
                <w:rFonts w:ascii="Times New Roman" w:hAnsi="Times New Roman" w:cs="Times New Roman"/>
                <w:sz w:val="20"/>
                <w:szCs w:val="20"/>
              </w:rPr>
            </w:pPr>
          </w:p>
          <w:p w14:paraId="2F5877FE" w:rsidR="005C1B59" w:rsidRPr="00042EF1" w:rsidRDefault="005C1B59" w:rsidP="0042567A">
            <w:pPr>
              <w:rPr>
                <w:rFonts w:ascii="Times New Roman" w:hAnsi="Times New Roman" w:cs="Times New Roman"/>
                <w:sz w:val="20"/>
                <w:szCs w:val="20"/>
              </w:rPr>
            </w:pPr>
          </w:p>
          <w:p w14:paraId="35721680" w:rsidR="005C1B59" w:rsidRPr="00042EF1" w:rsidRDefault="005C1B59" w:rsidP="0042567A">
            <w:pPr>
              <w:rPr>
                <w:rFonts w:ascii="Times New Roman" w:hAnsi="Times New Roman" w:cs="Times New Roman"/>
                <w:sz w:val="20"/>
                <w:szCs w:val="20"/>
              </w:rPr>
            </w:pPr>
          </w:p>
          <w:p w14:paraId="6D20DB0B" w:rsidR="005C1B59" w:rsidRPr="00042EF1" w:rsidRDefault="005C1B59" w:rsidP="0042567A">
            <w:pPr>
              <w:rPr>
                <w:rFonts w:ascii="Times New Roman" w:hAnsi="Times New Roman" w:cs="Times New Roman"/>
                <w:sz w:val="20"/>
                <w:szCs w:val="20"/>
              </w:rPr>
            </w:pPr>
          </w:p>
          <w:p w14:paraId="37CFDD2F" w:rsidR="005C1B59" w:rsidRPr="00042EF1" w:rsidRDefault="005C1B59" w:rsidP="0042567A">
            <w:pPr>
              <w:rPr>
                <w:rFonts w:ascii="Times New Roman" w:hAnsi="Times New Roman" w:cs="Times New Roman"/>
                <w:sz w:val="20"/>
                <w:szCs w:val="20"/>
              </w:rPr>
            </w:pPr>
          </w:p>
          <w:p w14:paraId="50CD6AC7" w:rsidR="005C1B59" w:rsidRPr="00042EF1" w:rsidRDefault="005C1B59" w:rsidP="0042567A">
            <w:pPr>
              <w:rPr>
                <w:rFonts w:ascii="Times New Roman" w:hAnsi="Times New Roman" w:cs="Times New Roman"/>
                <w:sz w:val="20"/>
                <w:szCs w:val="20"/>
              </w:rPr>
            </w:pPr>
          </w:p>
          <w:p w14:paraId="5E36E46C" w:rsidR="005C1B59" w:rsidRDefault="005C1B59" w:rsidP="0042567A">
            <w:pPr>
              <w:rPr>
                <w:rFonts w:ascii="Times New Roman" w:hAnsi="Times New Roman" w:cs="Times New Roman"/>
                <w:sz w:val="20"/>
                <w:szCs w:val="20"/>
              </w:rPr>
            </w:pPr>
          </w:p>
          <w:p w14:paraId="5A78F73A" w:rsidR="00042EF1" w:rsidRDefault="00042EF1" w:rsidP="0042567A">
            <w:pPr>
              <w:rPr>
                <w:rFonts w:ascii="Times New Roman" w:hAnsi="Times New Roman" w:cs="Times New Roman"/>
                <w:sz w:val="20"/>
                <w:szCs w:val="20"/>
              </w:rPr>
            </w:pPr>
          </w:p>
          <w:p w14:paraId="2E61F6B1" w:rsidR="00042EF1" w:rsidRDefault="00042EF1" w:rsidP="0042567A">
            <w:pPr>
              <w:rPr>
                <w:rFonts w:ascii="Times New Roman" w:hAnsi="Times New Roman" w:cs="Times New Roman"/>
                <w:sz w:val="20"/>
                <w:szCs w:val="20"/>
              </w:rPr>
            </w:pPr>
          </w:p>
          <w:p w14:paraId="3420AFAE" w:rsidR="00042EF1" w:rsidRPr="00042EF1" w:rsidRDefault="00042EF1" w:rsidP="0042567A">
            <w:pPr>
              <w:rPr>
                <w:rFonts w:ascii="Times New Roman" w:hAnsi="Times New Roman" w:cs="Times New Roman"/>
                <w:sz w:val="20"/>
                <w:szCs w:val="20"/>
              </w:rPr>
            </w:pPr>
          </w:p>
          <w:p w14:paraId="5B6F6B3A" w:rsidR="005C1B59" w:rsidRPr="00042EF1" w:rsidRDefault="005C1B59" w:rsidP="0042567A">
            <w:pPr>
              <w:rPr>
                <w:rFonts w:ascii="Times New Roman" w:hAnsi="Times New Roman" w:cs="Times New Roman"/>
                <w:sz w:val="20"/>
                <w:szCs w:val="20"/>
              </w:rPr>
            </w:pPr>
          </w:p>
          <w:p w14:paraId="3D45A0BF"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Ministry of Tourism (MoT)</w:t>
            </w:r>
          </w:p>
          <w:p w14:paraId="66BFF8D1" w:rsidR="005C1B59" w:rsidRPr="00042EF1" w:rsidRDefault="005C1B59" w:rsidP="0042567A">
            <w:pPr>
              <w:rPr>
                <w:rFonts w:ascii="Times New Roman" w:hAnsi="Times New Roman" w:cs="Times New Roman"/>
                <w:sz w:val="20"/>
                <w:szCs w:val="20"/>
              </w:rPr>
            </w:pPr>
          </w:p>
          <w:p w14:paraId="6906368F" w:rsidR="005C1B59" w:rsidRPr="00042EF1" w:rsidRDefault="005C1B59" w:rsidP="0042567A">
            <w:pPr>
              <w:rPr>
                <w:rFonts w:ascii="Times New Roman" w:hAnsi="Times New Roman" w:cs="Times New Roman"/>
                <w:sz w:val="20"/>
                <w:szCs w:val="20"/>
              </w:rPr>
            </w:pPr>
          </w:p>
          <w:p w14:paraId="7A3A9025" w:rsidR="005C1B59" w:rsidRPr="00042EF1" w:rsidRDefault="005C1B59" w:rsidP="0042567A">
            <w:pPr>
              <w:rPr>
                <w:rFonts w:ascii="Times New Roman" w:hAnsi="Times New Roman" w:cs="Times New Roman"/>
                <w:sz w:val="20"/>
                <w:szCs w:val="20"/>
              </w:rPr>
            </w:pPr>
          </w:p>
          <w:p w14:paraId="723790BA" w:rsidR="005C1B59" w:rsidRPr="00042EF1" w:rsidRDefault="005C1B59" w:rsidP="0042567A">
            <w:pPr>
              <w:rPr>
                <w:rFonts w:ascii="Times New Roman" w:hAnsi="Times New Roman" w:cs="Times New Roman"/>
                <w:sz w:val="20"/>
                <w:szCs w:val="20"/>
              </w:rPr>
            </w:pPr>
          </w:p>
          <w:p w14:paraId="60794F8F" w:rsidR="005C1B59" w:rsidRPr="00042EF1" w:rsidRDefault="005C1B59" w:rsidP="0042567A">
            <w:pPr>
              <w:rPr>
                <w:rFonts w:ascii="Times New Roman" w:hAnsi="Times New Roman" w:cs="Times New Roman"/>
                <w:sz w:val="20"/>
                <w:szCs w:val="20"/>
              </w:rPr>
            </w:pPr>
          </w:p>
          <w:p w14:paraId="0DE86C1E" w:rsidR="005C1B59" w:rsidRDefault="005C1B59" w:rsidP="0042567A">
            <w:pPr>
              <w:rPr>
                <w:rFonts w:ascii="Times New Roman" w:hAnsi="Times New Roman" w:cs="Times New Roman"/>
                <w:sz w:val="20"/>
                <w:szCs w:val="20"/>
              </w:rPr>
            </w:pPr>
          </w:p>
          <w:p w14:paraId="37A4B918" w:rsidR="00042EF1" w:rsidRPr="00042EF1" w:rsidRDefault="00042EF1" w:rsidP="0042567A">
            <w:pPr>
              <w:rPr>
                <w:rFonts w:ascii="Times New Roman" w:hAnsi="Times New Roman" w:cs="Times New Roman"/>
                <w:sz w:val="20"/>
                <w:szCs w:val="20"/>
              </w:rPr>
            </w:pPr>
          </w:p>
          <w:p w14:paraId="270FEB8B" w:rsidR="005C1B59" w:rsidRPr="00042EF1" w:rsidRDefault="005C1B59" w:rsidP="0042567A">
            <w:pPr>
              <w:rPr>
                <w:rFonts w:ascii="Times New Roman" w:hAnsi="Times New Roman" w:cs="Times New Roman"/>
                <w:sz w:val="20"/>
                <w:szCs w:val="20"/>
              </w:rPr>
            </w:pPr>
          </w:p>
          <w:p w14:paraId="626674DC"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National Water and Sewerage Authority (NAWASA) Parastatal/ Statutory Agency )</w:t>
            </w:r>
          </w:p>
          <w:p w14:paraId="76EB7663" w:rsidR="005C1B59" w:rsidRPr="00042EF1" w:rsidRDefault="005C1B59" w:rsidP="0042567A">
            <w:pPr>
              <w:rPr>
                <w:rFonts w:ascii="Times New Roman" w:hAnsi="Times New Roman" w:cs="Times New Roman"/>
                <w:sz w:val="20"/>
                <w:szCs w:val="20"/>
              </w:rPr>
            </w:pPr>
          </w:p>
          <w:p w14:paraId="387662E9" w:rsidR="005C1B59" w:rsidRPr="00042EF1" w:rsidRDefault="005C1B59" w:rsidP="0042567A">
            <w:pPr>
              <w:rPr>
                <w:rFonts w:ascii="Times New Roman" w:hAnsi="Times New Roman" w:cs="Times New Roman"/>
                <w:sz w:val="20"/>
                <w:szCs w:val="20"/>
              </w:rPr>
            </w:pPr>
          </w:p>
          <w:p w14:paraId="76BE69AF" w:rsidR="005C1B59" w:rsidRPr="00042EF1" w:rsidRDefault="005C1B59" w:rsidP="0042567A">
            <w:pPr>
              <w:rPr>
                <w:rFonts w:ascii="Times New Roman" w:hAnsi="Times New Roman" w:cs="Times New Roman"/>
                <w:sz w:val="20"/>
                <w:szCs w:val="20"/>
              </w:rPr>
            </w:pPr>
          </w:p>
          <w:p w14:paraId="0DDBCA63" w:rsidR="005C1B59" w:rsidRPr="00042EF1" w:rsidRDefault="005C1B59" w:rsidP="0042567A">
            <w:pPr>
              <w:rPr>
                <w:rFonts w:ascii="Times New Roman" w:hAnsi="Times New Roman" w:cs="Times New Roman"/>
                <w:sz w:val="20"/>
                <w:szCs w:val="20"/>
              </w:rPr>
            </w:pPr>
          </w:p>
          <w:p w14:paraId="3CCAD474" w:rsidR="005C1B59" w:rsidRPr="00042EF1" w:rsidRDefault="005C1B59" w:rsidP="0042567A">
            <w:pPr>
              <w:rPr>
                <w:rFonts w:ascii="Times New Roman" w:hAnsi="Times New Roman" w:cs="Times New Roman"/>
                <w:sz w:val="20"/>
                <w:szCs w:val="20"/>
              </w:rPr>
            </w:pPr>
          </w:p>
          <w:p w14:paraId="094E714B" w:rsidR="005C1B59" w:rsidRPr="00042EF1" w:rsidRDefault="005C1B59" w:rsidP="0042567A">
            <w:pPr>
              <w:rPr>
                <w:rFonts w:ascii="Times New Roman" w:hAnsi="Times New Roman" w:cs="Times New Roman"/>
                <w:sz w:val="20"/>
                <w:szCs w:val="20"/>
              </w:rPr>
            </w:pPr>
          </w:p>
          <w:p w14:paraId="491B3C6F" w:rsidR="005C1B59" w:rsidRDefault="005C1B59" w:rsidP="0042567A">
            <w:pPr>
              <w:rPr>
                <w:rFonts w:ascii="Times New Roman" w:hAnsi="Times New Roman" w:cs="Times New Roman"/>
                <w:sz w:val="20"/>
                <w:szCs w:val="20"/>
              </w:rPr>
            </w:pPr>
          </w:p>
          <w:p w14:paraId="2E167E2B" w:rsidR="00042EF1" w:rsidRPr="00042EF1" w:rsidRDefault="00042EF1" w:rsidP="0042567A">
            <w:pPr>
              <w:rPr>
                <w:rFonts w:ascii="Times New Roman" w:hAnsi="Times New Roman" w:cs="Times New Roman"/>
                <w:sz w:val="20"/>
                <w:szCs w:val="20"/>
              </w:rPr>
            </w:pPr>
          </w:p>
          <w:p w14:paraId="5E2D5833" w:rsidR="005C1B59" w:rsidRPr="00042EF1" w:rsidRDefault="005C1B59" w:rsidP="0042567A">
            <w:pPr>
              <w:rPr>
                <w:rFonts w:ascii="Times New Roman" w:hAnsi="Times New Roman" w:cs="Times New Roman"/>
                <w:sz w:val="20"/>
                <w:szCs w:val="20"/>
              </w:rPr>
            </w:pPr>
          </w:p>
          <w:p w14:paraId="3DE99154" w:rsidR="005C1B59" w:rsidRPr="00042EF1" w:rsidRDefault="005C1B59" w:rsidP="0042567A">
            <w:pPr>
              <w:rPr>
                <w:rFonts w:ascii="Times New Roman" w:hAnsi="Times New Roman" w:cs="Times New Roman"/>
                <w:sz w:val="20"/>
                <w:szCs w:val="20"/>
              </w:rPr>
            </w:pPr>
          </w:p>
          <w:p w14:paraId="2E4B5926"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 xml:space="preserve">Regional and local </w:t>
            </w:r>
            <w:r w:rsidR="00042EF1" w:rsidRPr="00042EF1">
              <w:rPr>
                <w:rFonts w:ascii="Times New Roman" w:hAnsi="Times New Roman" w:cs="Times New Roman"/>
                <w:sz w:val="20"/>
                <w:szCs w:val="20"/>
              </w:rPr>
              <w:t>Centers</w:t>
            </w:r>
            <w:r w:rsidRPr="00042EF1">
              <w:rPr>
                <w:rFonts w:ascii="Times New Roman" w:hAnsi="Times New Roman" w:cs="Times New Roman"/>
                <w:sz w:val="20"/>
                <w:szCs w:val="20"/>
              </w:rPr>
              <w:t xml:space="preserve"> of Excellence in support of sustainable management and conservation of the BD and Ecosystems services</w:t>
            </w:r>
          </w:p>
          <w:p w14:paraId="56F14652" w:rsidR="005C1B59" w:rsidRPr="00042EF1" w:rsidRDefault="005C1B59" w:rsidP="0042567A">
            <w:pPr>
              <w:rPr>
                <w:rFonts w:ascii="Times New Roman" w:hAnsi="Times New Roman" w:cs="Times New Roman"/>
                <w:sz w:val="20"/>
                <w:szCs w:val="20"/>
              </w:rPr>
            </w:pPr>
          </w:p>
          <w:p w14:paraId="0536D2F6" w:rsidR="005C1B59" w:rsidRPr="00042EF1" w:rsidRDefault="005C1B59" w:rsidP="0042567A">
            <w:pPr>
              <w:rPr>
                <w:rFonts w:ascii="Times New Roman" w:hAnsi="Times New Roman" w:cs="Times New Roman"/>
                <w:sz w:val="20"/>
                <w:szCs w:val="20"/>
              </w:rPr>
            </w:pPr>
          </w:p>
          <w:p w14:paraId="6185928B" w:rsidR="005C1B59" w:rsidRPr="00042EF1" w:rsidRDefault="005C1B59" w:rsidP="0042567A">
            <w:pPr>
              <w:rPr>
                <w:rFonts w:ascii="Times New Roman" w:hAnsi="Times New Roman" w:cs="Times New Roman"/>
                <w:sz w:val="20"/>
                <w:szCs w:val="20"/>
              </w:rPr>
            </w:pPr>
          </w:p>
          <w:p w14:paraId="6B757939" w:rsidR="005C1B59" w:rsidRPr="00042EF1" w:rsidRDefault="005C1B59" w:rsidP="0042567A">
            <w:pPr>
              <w:rPr>
                <w:rFonts w:ascii="Times New Roman" w:hAnsi="Times New Roman" w:cs="Times New Roman"/>
                <w:sz w:val="20"/>
                <w:szCs w:val="20"/>
              </w:rPr>
            </w:pPr>
          </w:p>
          <w:p w14:paraId="73550A58" w:rsidR="005C1B59" w:rsidRPr="00042EF1" w:rsidRDefault="005C1B59" w:rsidP="0042567A">
            <w:pPr>
              <w:rPr>
                <w:rFonts w:ascii="Times New Roman" w:hAnsi="Times New Roman" w:cs="Times New Roman"/>
                <w:sz w:val="20"/>
                <w:szCs w:val="20"/>
              </w:rPr>
            </w:pPr>
          </w:p>
          <w:p w14:paraId="759DE1DC" w:rsidR="005C1B59" w:rsidRPr="00042EF1" w:rsidRDefault="005C1B59" w:rsidP="0042567A">
            <w:pPr>
              <w:rPr>
                <w:rFonts w:ascii="Times New Roman" w:hAnsi="Times New Roman" w:cs="Times New Roman"/>
                <w:sz w:val="20"/>
                <w:szCs w:val="20"/>
              </w:rPr>
            </w:pPr>
          </w:p>
          <w:p w14:paraId="37AE1337" w:rsidR="005C1B59" w:rsidRPr="00042EF1" w:rsidRDefault="005C1B59" w:rsidP="0042567A">
            <w:pPr>
              <w:rPr>
                <w:rFonts w:ascii="Times New Roman" w:hAnsi="Times New Roman" w:cs="Times New Roman"/>
                <w:sz w:val="20"/>
                <w:szCs w:val="20"/>
              </w:rPr>
            </w:pPr>
          </w:p>
          <w:p w14:paraId="51C7D410" w:rsidR="005C1B59" w:rsidRDefault="005C1B59" w:rsidP="0042567A">
            <w:pPr>
              <w:rPr>
                <w:rFonts w:ascii="Times New Roman" w:hAnsi="Times New Roman" w:cs="Times New Roman"/>
                <w:sz w:val="20"/>
                <w:szCs w:val="20"/>
              </w:rPr>
            </w:pPr>
          </w:p>
          <w:p w14:paraId="3028ACD9" w:rsidR="00042EF1" w:rsidRDefault="00042EF1" w:rsidP="0042567A">
            <w:pPr>
              <w:rPr>
                <w:rFonts w:ascii="Times New Roman" w:hAnsi="Times New Roman" w:cs="Times New Roman"/>
                <w:sz w:val="20"/>
                <w:szCs w:val="20"/>
              </w:rPr>
            </w:pPr>
          </w:p>
          <w:p w14:paraId="4B59FED6" w:rsidR="00042EF1" w:rsidRDefault="00042EF1" w:rsidP="0042567A">
            <w:pPr>
              <w:rPr>
                <w:rFonts w:ascii="Times New Roman" w:hAnsi="Times New Roman" w:cs="Times New Roman"/>
                <w:sz w:val="20"/>
                <w:szCs w:val="20"/>
              </w:rPr>
            </w:pPr>
          </w:p>
          <w:p w14:paraId="2A6153DD" w:rsidR="00042EF1" w:rsidRDefault="00042EF1" w:rsidP="0042567A">
            <w:pPr>
              <w:rPr>
                <w:rFonts w:ascii="Times New Roman" w:hAnsi="Times New Roman" w:cs="Times New Roman"/>
                <w:sz w:val="20"/>
                <w:szCs w:val="20"/>
              </w:rPr>
            </w:pPr>
          </w:p>
          <w:p w14:paraId="1BD35491"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St. George</w:t>
            </w:r>
            <w:r w:rsidR="00042EF1">
              <w:rPr>
                <w:rFonts w:ascii="Times New Roman" w:hAnsi="Times New Roman" w:cs="Times New Roman"/>
                <w:sz w:val="20"/>
                <w:szCs w:val="20"/>
              </w:rPr>
              <w:t>’s</w:t>
            </w:r>
            <w:r w:rsidRPr="00042EF1">
              <w:rPr>
                <w:rFonts w:ascii="Times New Roman" w:hAnsi="Times New Roman" w:cs="Times New Roman"/>
                <w:sz w:val="20"/>
                <w:szCs w:val="20"/>
              </w:rPr>
              <w:t xml:space="preserve"> University (SGU)  </w:t>
            </w:r>
          </w:p>
          <w:p w14:paraId="0D742733" w:rsidR="005C1B59" w:rsidRPr="00042EF1" w:rsidRDefault="005C1B59" w:rsidP="0042567A">
            <w:pPr>
              <w:rPr>
                <w:rFonts w:ascii="Times New Roman" w:hAnsi="Times New Roman" w:cs="Times New Roman"/>
                <w:sz w:val="20"/>
                <w:szCs w:val="20"/>
              </w:rPr>
            </w:pPr>
          </w:p>
          <w:p w14:paraId="44ADED51" w:rsidR="005C1B59" w:rsidRPr="00042EF1" w:rsidRDefault="005C1B59" w:rsidP="0042567A">
            <w:pPr>
              <w:rPr>
                <w:rFonts w:ascii="Times New Roman" w:hAnsi="Times New Roman" w:cs="Times New Roman"/>
                <w:sz w:val="20"/>
                <w:szCs w:val="20"/>
              </w:rPr>
            </w:pPr>
          </w:p>
          <w:p w14:paraId="6B889F0E" w:rsidR="005C1B59" w:rsidRPr="00042EF1" w:rsidRDefault="005C1B59" w:rsidP="0042567A">
            <w:pPr>
              <w:rPr>
                <w:rFonts w:ascii="Times New Roman" w:hAnsi="Times New Roman" w:cs="Times New Roman"/>
                <w:sz w:val="20"/>
                <w:szCs w:val="20"/>
              </w:rPr>
            </w:pPr>
          </w:p>
          <w:p w14:paraId="7CCA0931"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CEHI</w:t>
            </w:r>
          </w:p>
          <w:p w14:paraId="4E888CFB" w:rsidR="005C1B59" w:rsidRPr="00042EF1" w:rsidRDefault="005C1B59" w:rsidP="0042567A">
            <w:pPr>
              <w:rPr>
                <w:rFonts w:ascii="Times New Roman" w:hAnsi="Times New Roman" w:cs="Times New Roman"/>
                <w:sz w:val="20"/>
                <w:szCs w:val="20"/>
              </w:rPr>
            </w:pPr>
          </w:p>
          <w:p w14:paraId="03233B44" w:rsidR="005C1B59" w:rsidRPr="00042EF1" w:rsidRDefault="005C1B59" w:rsidP="0042567A">
            <w:pPr>
              <w:rPr>
                <w:rFonts w:ascii="Times New Roman" w:hAnsi="Times New Roman" w:cs="Times New Roman"/>
                <w:sz w:val="20"/>
                <w:szCs w:val="20"/>
              </w:rPr>
            </w:pPr>
          </w:p>
          <w:p w14:paraId="588BE897"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CREMES</w:t>
            </w:r>
          </w:p>
          <w:p w14:paraId="3BC27902" w:rsidR="005C1B59" w:rsidRPr="00042EF1" w:rsidRDefault="005C1B59" w:rsidP="0042567A">
            <w:pPr>
              <w:rPr>
                <w:rFonts w:ascii="Times New Roman" w:hAnsi="Times New Roman" w:cs="Times New Roman"/>
                <w:sz w:val="20"/>
                <w:szCs w:val="20"/>
              </w:rPr>
            </w:pPr>
          </w:p>
          <w:p w14:paraId="794FB3FE" w:rsidR="005C1B59" w:rsidRPr="00042EF1" w:rsidRDefault="005C1B59" w:rsidP="0042567A">
            <w:pPr>
              <w:rPr>
                <w:rFonts w:ascii="Times New Roman" w:hAnsi="Times New Roman" w:cs="Times New Roman"/>
                <w:sz w:val="20"/>
                <w:szCs w:val="20"/>
              </w:rPr>
            </w:pPr>
          </w:p>
          <w:p w14:paraId="60FE2A40"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UWI</w:t>
            </w:r>
          </w:p>
          <w:p w14:paraId="3C82D97E" w:rsidR="005C1B59" w:rsidRPr="00042EF1" w:rsidRDefault="005C1B59" w:rsidP="0042567A">
            <w:pPr>
              <w:rPr>
                <w:rFonts w:ascii="Times New Roman" w:hAnsi="Times New Roman" w:cs="Times New Roman"/>
                <w:sz w:val="20"/>
                <w:szCs w:val="20"/>
              </w:rPr>
            </w:pPr>
          </w:p>
          <w:p w14:paraId="12B589FF" w:rsidR="005C1B59" w:rsidRPr="00042EF1" w:rsidRDefault="005C1B59" w:rsidP="0042567A">
            <w:pPr>
              <w:rPr>
                <w:rFonts w:ascii="Times New Roman" w:hAnsi="Times New Roman" w:cs="Times New Roman"/>
                <w:sz w:val="20"/>
                <w:szCs w:val="20"/>
              </w:rPr>
            </w:pPr>
          </w:p>
          <w:p w14:paraId="76E21514" w:rsidR="005C1B59" w:rsidRDefault="005C1B59" w:rsidP="0042567A">
            <w:pPr>
              <w:rPr>
                <w:rFonts w:ascii="Times New Roman" w:hAnsi="Times New Roman" w:cs="Times New Roman"/>
                <w:sz w:val="20"/>
                <w:szCs w:val="20"/>
              </w:rPr>
            </w:pPr>
          </w:p>
          <w:p w14:paraId="3EB3ACD0" w:rsidR="00042EF1" w:rsidRPr="00042EF1" w:rsidRDefault="00042EF1" w:rsidP="0042567A">
            <w:pPr>
              <w:rPr>
                <w:rFonts w:ascii="Times New Roman" w:hAnsi="Times New Roman" w:cs="Times New Roman"/>
                <w:sz w:val="20"/>
                <w:szCs w:val="20"/>
              </w:rPr>
            </w:pPr>
          </w:p>
          <w:p w14:paraId="5F4510A8" w:rsidR="005C1B59" w:rsidRPr="00042EF1" w:rsidRDefault="005C1B59" w:rsidP="0042567A">
            <w:pPr>
              <w:rPr>
                <w:rFonts w:ascii="Times New Roman" w:hAnsi="Times New Roman" w:cs="Times New Roman"/>
                <w:sz w:val="20"/>
                <w:szCs w:val="20"/>
              </w:rPr>
            </w:pPr>
          </w:p>
          <w:p w14:paraId="7B0508BA"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 xml:space="preserve">Recreation Dive-Services Providers </w:t>
            </w:r>
          </w:p>
          <w:p w14:paraId="477EF97C" w:rsidR="005C1B59" w:rsidRPr="00042EF1" w:rsidRDefault="005C1B59" w:rsidP="0042567A">
            <w:pPr>
              <w:rPr>
                <w:rFonts w:ascii="Times New Roman" w:hAnsi="Times New Roman" w:cs="Times New Roman"/>
                <w:sz w:val="20"/>
                <w:szCs w:val="20"/>
              </w:rPr>
            </w:pPr>
          </w:p>
          <w:p w14:paraId="151BA7FD" w:rsidR="005C1B59" w:rsidRPr="00042EF1" w:rsidRDefault="005C1B59" w:rsidP="0042567A">
            <w:pPr>
              <w:rPr>
                <w:rFonts w:ascii="Times New Roman" w:hAnsi="Times New Roman" w:cs="Times New Roman"/>
                <w:sz w:val="20"/>
                <w:szCs w:val="20"/>
              </w:rPr>
            </w:pPr>
          </w:p>
          <w:p w14:paraId="2C62790F" w:rsidR="005C1B59" w:rsidRPr="00042EF1" w:rsidRDefault="005C1B59" w:rsidP="0042567A">
            <w:pPr>
              <w:rPr>
                <w:rFonts w:ascii="Times New Roman" w:hAnsi="Times New Roman" w:cs="Times New Roman"/>
                <w:sz w:val="20"/>
                <w:szCs w:val="20"/>
              </w:rPr>
            </w:pPr>
          </w:p>
          <w:p w14:paraId="50349E7D" w:rsidR="005C1B59" w:rsidRDefault="005C1B59" w:rsidP="0042567A">
            <w:pPr>
              <w:rPr>
                <w:rFonts w:ascii="Times New Roman" w:hAnsi="Times New Roman" w:cs="Times New Roman"/>
                <w:sz w:val="20"/>
                <w:szCs w:val="20"/>
              </w:rPr>
            </w:pPr>
          </w:p>
          <w:p w14:paraId="76371E59" w:rsidR="00042EF1" w:rsidRPr="00042EF1" w:rsidRDefault="00042EF1" w:rsidP="0042567A">
            <w:pPr>
              <w:rPr>
                <w:rFonts w:ascii="Times New Roman" w:hAnsi="Times New Roman" w:cs="Times New Roman"/>
                <w:sz w:val="20"/>
                <w:szCs w:val="20"/>
              </w:rPr>
            </w:pPr>
          </w:p>
          <w:p w14:paraId="2D241214"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Non-Government Organization (NGOs)</w:t>
            </w:r>
          </w:p>
          <w:p w14:paraId="66545A6C" w:rsidR="005C1B59" w:rsidRPr="00042EF1" w:rsidRDefault="005C1B59" w:rsidP="0042567A">
            <w:pPr>
              <w:rPr>
                <w:rFonts w:ascii="Times New Roman" w:hAnsi="Times New Roman" w:cs="Times New Roman"/>
                <w:sz w:val="20"/>
                <w:szCs w:val="20"/>
              </w:rPr>
            </w:pPr>
          </w:p>
          <w:p w14:paraId="618925DB" w:rsidR="005C1B59" w:rsidRPr="00042EF1" w:rsidRDefault="005C1B59" w:rsidP="0042567A">
            <w:pPr>
              <w:rPr>
                <w:rFonts w:ascii="Times New Roman" w:hAnsi="Times New Roman" w:cs="Times New Roman"/>
                <w:sz w:val="20"/>
                <w:szCs w:val="20"/>
              </w:rPr>
            </w:pPr>
          </w:p>
          <w:p w14:paraId="0780A404" w:rsidR="005C1B59" w:rsidRPr="00042EF1" w:rsidRDefault="005C1B59" w:rsidP="0042567A">
            <w:pPr>
              <w:rPr>
                <w:rFonts w:ascii="Times New Roman" w:hAnsi="Times New Roman" w:cs="Times New Roman"/>
                <w:sz w:val="20"/>
                <w:szCs w:val="20"/>
              </w:rPr>
            </w:pPr>
          </w:p>
          <w:p w14:paraId="0EC516EC" w:rsidR="005C1B59" w:rsidRPr="00042EF1" w:rsidRDefault="005C1B59" w:rsidP="0042567A">
            <w:pPr>
              <w:rPr>
                <w:rFonts w:ascii="Times New Roman" w:hAnsi="Times New Roman" w:cs="Times New Roman"/>
                <w:sz w:val="20"/>
                <w:szCs w:val="20"/>
              </w:rPr>
            </w:pPr>
          </w:p>
          <w:p w14:paraId="7EE28661" w:rsidR="005C1B59" w:rsidRDefault="005C1B59" w:rsidP="0042567A">
            <w:pPr>
              <w:rPr>
                <w:rFonts w:ascii="Times New Roman" w:hAnsi="Times New Roman" w:cs="Times New Roman"/>
                <w:sz w:val="20"/>
                <w:szCs w:val="20"/>
              </w:rPr>
            </w:pPr>
          </w:p>
          <w:p w14:paraId="6ADB6DB2" w:rsidR="00042EF1" w:rsidRPr="00042EF1" w:rsidRDefault="00042EF1" w:rsidP="0042567A">
            <w:pPr>
              <w:rPr>
                <w:rFonts w:ascii="Times New Roman" w:hAnsi="Times New Roman" w:cs="Times New Roman"/>
                <w:sz w:val="20"/>
                <w:szCs w:val="20"/>
              </w:rPr>
            </w:pPr>
          </w:p>
          <w:p w14:paraId="563A58E6" w:rsidR="005C1B59" w:rsidRPr="00042EF1" w:rsidRDefault="005C1B59" w:rsidP="0042567A">
            <w:pPr>
              <w:rPr>
                <w:rFonts w:ascii="Times New Roman" w:hAnsi="Times New Roman" w:cs="Times New Roman"/>
                <w:sz w:val="20"/>
                <w:szCs w:val="20"/>
              </w:rPr>
            </w:pPr>
          </w:p>
          <w:p w14:paraId="65DCE507"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 xml:space="preserve">Community-Based Organizations </w:t>
            </w:r>
            <w:r w:rsidR="00042EF1">
              <w:rPr>
                <w:rFonts w:ascii="Times New Roman" w:hAnsi="Times New Roman" w:cs="Times New Roman"/>
                <w:sz w:val="20"/>
                <w:szCs w:val="20"/>
              </w:rPr>
              <w:t>(CBOs)</w:t>
            </w:r>
          </w:p>
        </w:tc>
        <w:tc>
          <w:tcPr>
            <w:tcW w:w="5203" w:type="dxa"/>
          </w:tcPr>
          <w:p w14:paraId="76E73EB1" w:rsidR="005C1B59" w:rsidRPr="00042EF1" w:rsidRDefault="005C1B59" w:rsidP="0042567A">
            <w:pPr>
              <w:rPr>
                <w:rFonts w:ascii="Times New Roman" w:hAnsi="Times New Roman" w:cs="Times New Roman"/>
                <w:sz w:val="20"/>
                <w:szCs w:val="20"/>
              </w:rPr>
            </w:pPr>
            <w:r w:rsidRPr="00042EF1">
              <w:rPr>
                <w:rFonts w:ascii="Times New Roman" w:hAnsi="Times New Roman" w:cs="Times New Roman"/>
                <w:sz w:val="20"/>
                <w:szCs w:val="20"/>
              </w:rPr>
              <w:t>The department of central government designated as executing agency for the implementation of the project on the local level and as agency of government with “command and control: over various technical divisions expected to deliver services essential to the delivery of the project. The divisions and the</w:t>
            </w:r>
            <w:r w:rsidR="00042EF1">
              <w:rPr>
                <w:rFonts w:ascii="Times New Roman" w:hAnsi="Times New Roman" w:cs="Times New Roman"/>
                <w:sz w:val="20"/>
                <w:szCs w:val="20"/>
              </w:rPr>
              <w:t>ir roles include the following:</w:t>
            </w:r>
          </w:p>
          <w:p w14:paraId="170C7606"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The Forest and National Parks Authority that is responsible for management and conservation of forest ecosystems that include. Landscape vegetation and wildlife and with a special focus on ecosystems services. The FNPD is expected to administer SLM, SFM REDD+, BD and CC mitigation. Principles and practices in collaboration with various other experience of government by design various activities of the project will involve the FNPD in co-management engagements with local area groups and NGOs, CBSs’.</w:t>
            </w:r>
          </w:p>
          <w:p w14:paraId="4C8A2286" w:rsidR="005C1B59" w:rsidRPr="00042EF1" w:rsidRDefault="005C1B59" w:rsidP="0042567A">
            <w:pPr>
              <w:pStyle w:val="ListParagraph"/>
              <w:ind w:left="360"/>
              <w:rPr>
                <w:rFonts w:ascii="Times New Roman" w:hAnsi="Times New Roman" w:cs="Times New Roman"/>
                <w:sz w:val="20"/>
                <w:szCs w:val="20"/>
              </w:rPr>
            </w:pPr>
          </w:p>
          <w:p w14:paraId="1CA30E58"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agency responsible for tracking the status and trends with regards to vegetative coverage, land uses and audit of water within the water source on all landscapes. The LUD will be charged with responsibilities for collaborating with other agencies of government for the application of SLM, SFM/RDD+, And CC mitigation principles and practices in collaboration with local area groups, NGOs/CBO, in INRM exercises.  </w:t>
            </w:r>
          </w:p>
          <w:p w14:paraId="694A427C" w:rsidR="005C1B59" w:rsidRPr="00042EF1" w:rsidRDefault="005C1B59" w:rsidP="0042567A">
            <w:pPr>
              <w:pStyle w:val="ListParagraph"/>
              <w:rPr>
                <w:rFonts w:ascii="Times New Roman" w:hAnsi="Times New Roman" w:cs="Times New Roman"/>
                <w:sz w:val="20"/>
                <w:szCs w:val="20"/>
              </w:rPr>
            </w:pPr>
          </w:p>
          <w:p w14:paraId="492DDD11"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agency within the Ministry of Agriculture charge with the responsibility for liaison with farmers for promotion of sustainable use of lands for production and for marketing of farmers’ production, the AED will exercise key roles in mobilizing and animating farmers for applying SLM, SFM/REDD+, BD and CC mitigation practices in the content of mixed farming and INRM practices. </w:t>
            </w:r>
          </w:p>
          <w:p w14:paraId="51423565" w:rsidR="005C1B59" w:rsidRPr="00042EF1" w:rsidRDefault="005C1B59" w:rsidP="0042567A">
            <w:pPr>
              <w:pStyle w:val="ListParagraph"/>
              <w:rPr>
                <w:rFonts w:ascii="Times New Roman" w:hAnsi="Times New Roman" w:cs="Times New Roman"/>
                <w:sz w:val="20"/>
                <w:szCs w:val="20"/>
              </w:rPr>
            </w:pPr>
          </w:p>
          <w:p w14:paraId="0C846819"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agencies responsible for promoting efficiency in animal and plant production systems and for animal health and security. The A/VD will be charged with the task of promoting INRM through SLM, BD and CC mitigation practices. </w:t>
            </w:r>
          </w:p>
          <w:p w14:paraId="7A92AF73" w:rsidR="005C1B59" w:rsidRPr="00042EF1" w:rsidRDefault="005C1B59" w:rsidP="0042567A">
            <w:pPr>
              <w:pStyle w:val="ListParagraph"/>
              <w:ind w:left="360"/>
              <w:rPr>
                <w:rFonts w:ascii="Times New Roman" w:hAnsi="Times New Roman" w:cs="Times New Roman"/>
                <w:sz w:val="20"/>
                <w:szCs w:val="20"/>
              </w:rPr>
            </w:pPr>
          </w:p>
          <w:p w14:paraId="2AF342E7"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MNIB as a para-statal/Statutory agency of government is mandated to facilitate marketing of farmers’ production and for enhancing value-added for farm products.  The MNIB will be expected to collaborate with various agencies within the Ministry Agriculture for promoting sustainable agricultural production especially with respect to the pilot project at Beausejour watershed. </w:t>
            </w:r>
          </w:p>
          <w:p w14:paraId="05A16F9C" w:rsidR="005C1B59" w:rsidRPr="00042EF1" w:rsidRDefault="005C1B59" w:rsidP="0042567A">
            <w:pPr>
              <w:pStyle w:val="ListParagraph"/>
              <w:rPr>
                <w:rFonts w:ascii="Times New Roman" w:hAnsi="Times New Roman" w:cs="Times New Roman"/>
                <w:sz w:val="20"/>
                <w:szCs w:val="20"/>
              </w:rPr>
            </w:pPr>
          </w:p>
          <w:p w14:paraId="02271852"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 The agency responsible for the sustainable management and development of fish stocks habitat and sea space in the context of the marine environment that was traditionally utilized as a common property resource within an open access/ free entry regime.  The FD will be charged with the task of leading in the process of establishment of MPAs in collaboration with various sea users in a highly contested common property zone.  The FD will then have to collaborate with the community of dive services providers yachtsmen and fishers among others; they will also have to collaborate closely with land users and land management authorities together with local area groups in order to ensure SLM, SFM/REDD</w:t>
            </w:r>
            <w:r w:rsidRPr="00042EF1">
              <w:rPr>
                <w:rFonts w:ascii="Times New Roman" w:hAnsi="Times New Roman" w:cs="Times New Roman"/>
                <w:sz w:val="20"/>
                <w:szCs w:val="20"/>
                <w:vertAlign w:val="superscript"/>
              </w:rPr>
              <w:t>+</w:t>
            </w:r>
            <w:r w:rsidRPr="00042EF1">
              <w:rPr>
                <w:rFonts w:ascii="Times New Roman" w:hAnsi="Times New Roman" w:cs="Times New Roman"/>
                <w:sz w:val="20"/>
                <w:szCs w:val="20"/>
              </w:rPr>
              <w:t>, BD and CC mitigation and INRM practices are applied for minimizing adverse impacts form landscapes to seascapes.</w:t>
            </w:r>
          </w:p>
          <w:p w14:paraId="34FBA527" w:rsidR="005C1B59" w:rsidRPr="00042EF1" w:rsidRDefault="005C1B59" w:rsidP="0042567A">
            <w:pPr>
              <w:pStyle w:val="ListParagraph"/>
              <w:rPr>
                <w:rFonts w:ascii="Times New Roman" w:hAnsi="Times New Roman" w:cs="Times New Roman"/>
                <w:sz w:val="20"/>
                <w:szCs w:val="20"/>
              </w:rPr>
            </w:pPr>
          </w:p>
          <w:p w14:paraId="75F31C11"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department of central government responsible for, among other things, the development/enhancement and management of tourist attraction sites, most of these sites form a part of earmarked or designated PAs. The park management unit of the MOT will collaborate with various other agencies for the establishment and expansion of PAs as either nature reserves or other attraction. </w:t>
            </w:r>
          </w:p>
          <w:p w14:paraId="48B3F977" w:rsidR="005C1B59" w:rsidRPr="00042EF1" w:rsidRDefault="005C1B59" w:rsidP="0042567A">
            <w:pPr>
              <w:pStyle w:val="ListParagraph"/>
              <w:rPr>
                <w:rFonts w:ascii="Times New Roman" w:hAnsi="Times New Roman" w:cs="Times New Roman"/>
                <w:sz w:val="20"/>
                <w:szCs w:val="20"/>
              </w:rPr>
            </w:pPr>
          </w:p>
          <w:p w14:paraId="4ED0088C"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agency of central government mandated to control surveillance and monitor all sequestration of water from any and all terrestrial water sources and also to collect and dispose of sewerage wastes. NAWASA therefore has a critical interest in the sustainable management of the water source and must directly cooperate with all the agencies within the MALFFIE and others in the appreciation of SFM, SFM/REDD+ and BD and CC mitigation practicing for sustainable use of landscapes and seascapes. </w:t>
            </w:r>
          </w:p>
          <w:p w14:paraId="74936424" w:rsidR="005C1B59" w:rsidRPr="00042EF1" w:rsidRDefault="005C1B59" w:rsidP="0042567A">
            <w:pPr>
              <w:pStyle w:val="ListParagraph"/>
              <w:rPr>
                <w:rFonts w:ascii="Times New Roman" w:hAnsi="Times New Roman" w:cs="Times New Roman"/>
                <w:sz w:val="20"/>
                <w:szCs w:val="20"/>
              </w:rPr>
            </w:pPr>
          </w:p>
          <w:p w14:paraId="34A15D88"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Academic and technical services institutions with special competences that could enhance sustainable management and conservation of the biodiversity and ecosystems services, with the appropriate enabling support would be able to assist the ridge to reef project in meeting specific objectives.  These institutions</w:t>
            </w:r>
            <w:r w:rsidR="00877212">
              <w:rPr>
                <w:rFonts w:ascii="Times New Roman" w:hAnsi="Times New Roman" w:cs="Times New Roman"/>
                <w:sz w:val="20"/>
                <w:szCs w:val="20"/>
              </w:rPr>
              <w:t>,</w:t>
            </w:r>
            <w:r w:rsidRPr="00042EF1">
              <w:rPr>
                <w:rFonts w:ascii="Times New Roman" w:hAnsi="Times New Roman" w:cs="Times New Roman"/>
                <w:sz w:val="20"/>
                <w:szCs w:val="20"/>
              </w:rPr>
              <w:t xml:space="preserve"> as specialized bodies</w:t>
            </w:r>
            <w:r w:rsidR="00877212">
              <w:rPr>
                <w:rFonts w:ascii="Times New Roman" w:hAnsi="Times New Roman" w:cs="Times New Roman"/>
                <w:sz w:val="20"/>
                <w:szCs w:val="20"/>
              </w:rPr>
              <w:t>,</w:t>
            </w:r>
            <w:r w:rsidRPr="00042EF1">
              <w:rPr>
                <w:rFonts w:ascii="Times New Roman" w:hAnsi="Times New Roman" w:cs="Times New Roman"/>
                <w:sz w:val="20"/>
                <w:szCs w:val="20"/>
              </w:rPr>
              <w:t xml:space="preserve"> </w:t>
            </w:r>
            <w:r w:rsidR="00042EF1">
              <w:rPr>
                <w:rFonts w:ascii="Times New Roman" w:hAnsi="Times New Roman" w:cs="Times New Roman"/>
                <w:sz w:val="20"/>
                <w:szCs w:val="20"/>
              </w:rPr>
              <w:t>will</w:t>
            </w:r>
            <w:r w:rsidRPr="00042EF1">
              <w:rPr>
                <w:rFonts w:ascii="Times New Roman" w:hAnsi="Times New Roman" w:cs="Times New Roman"/>
                <w:sz w:val="20"/>
                <w:szCs w:val="20"/>
              </w:rPr>
              <w:t xml:space="preserve"> be able to provide </w:t>
            </w:r>
            <w:r w:rsidR="00042EF1">
              <w:rPr>
                <w:rFonts w:ascii="Times New Roman" w:hAnsi="Times New Roman" w:cs="Times New Roman"/>
                <w:sz w:val="20"/>
                <w:szCs w:val="20"/>
              </w:rPr>
              <w:t>support</w:t>
            </w:r>
            <w:r w:rsidRPr="00042EF1">
              <w:rPr>
                <w:rFonts w:ascii="Times New Roman" w:hAnsi="Times New Roman" w:cs="Times New Roman"/>
                <w:sz w:val="20"/>
                <w:szCs w:val="20"/>
              </w:rPr>
              <w:t xml:space="preserve"> that </w:t>
            </w:r>
            <w:r w:rsidR="00042EF1">
              <w:rPr>
                <w:rFonts w:ascii="Times New Roman" w:hAnsi="Times New Roman" w:cs="Times New Roman"/>
                <w:sz w:val="20"/>
                <w:szCs w:val="20"/>
              </w:rPr>
              <w:t>government agencies</w:t>
            </w:r>
            <w:r w:rsidRPr="00042EF1">
              <w:rPr>
                <w:rFonts w:ascii="Times New Roman" w:hAnsi="Times New Roman" w:cs="Times New Roman"/>
                <w:sz w:val="20"/>
                <w:szCs w:val="20"/>
              </w:rPr>
              <w:t xml:space="preserve"> </w:t>
            </w:r>
            <w:r w:rsidR="00042EF1">
              <w:rPr>
                <w:rFonts w:ascii="Times New Roman" w:hAnsi="Times New Roman" w:cs="Times New Roman"/>
                <w:sz w:val="20"/>
                <w:szCs w:val="20"/>
              </w:rPr>
              <w:t>are un</w:t>
            </w:r>
            <w:r w:rsidRPr="00042EF1">
              <w:rPr>
                <w:rFonts w:ascii="Times New Roman" w:hAnsi="Times New Roman" w:cs="Times New Roman"/>
                <w:sz w:val="20"/>
                <w:szCs w:val="20"/>
              </w:rPr>
              <w:t>able to generate</w:t>
            </w:r>
            <w:r w:rsidR="00877212">
              <w:rPr>
                <w:rFonts w:ascii="Times New Roman" w:hAnsi="Times New Roman" w:cs="Times New Roman"/>
                <w:sz w:val="20"/>
                <w:szCs w:val="20"/>
              </w:rPr>
              <w:t xml:space="preserve">; </w:t>
            </w:r>
            <w:r w:rsidRPr="00042EF1">
              <w:rPr>
                <w:rFonts w:ascii="Times New Roman" w:hAnsi="Times New Roman" w:cs="Times New Roman"/>
                <w:sz w:val="20"/>
                <w:szCs w:val="20"/>
              </w:rPr>
              <w:t xml:space="preserve">sufficient competency in collaboration of local operation management agencies with such </w:t>
            </w:r>
            <w:r w:rsidR="00877212" w:rsidRPr="00042EF1">
              <w:rPr>
                <w:rFonts w:ascii="Times New Roman" w:hAnsi="Times New Roman" w:cs="Times New Roman"/>
                <w:sz w:val="20"/>
                <w:szCs w:val="20"/>
              </w:rPr>
              <w:t>centers</w:t>
            </w:r>
            <w:r w:rsidRPr="00042EF1">
              <w:rPr>
                <w:rFonts w:ascii="Times New Roman" w:hAnsi="Times New Roman" w:cs="Times New Roman"/>
                <w:sz w:val="20"/>
                <w:szCs w:val="20"/>
              </w:rPr>
              <w:t xml:space="preserve"> of excellence (COE) can be beneficial to both; training for local operations agencies and opportunity for COE to enhance their mission and competency. Among the institution</w:t>
            </w:r>
            <w:r w:rsidR="00042EF1">
              <w:rPr>
                <w:rFonts w:ascii="Times New Roman" w:hAnsi="Times New Roman" w:cs="Times New Roman"/>
                <w:sz w:val="20"/>
                <w:szCs w:val="20"/>
              </w:rPr>
              <w:t>s</w:t>
            </w:r>
            <w:r w:rsidRPr="00042EF1">
              <w:rPr>
                <w:rFonts w:ascii="Times New Roman" w:hAnsi="Times New Roman" w:cs="Times New Roman"/>
                <w:sz w:val="20"/>
                <w:szCs w:val="20"/>
              </w:rPr>
              <w:t xml:space="preserve"> identified are:</w:t>
            </w:r>
          </w:p>
          <w:p w14:paraId="1658D134" w:rsidR="005C1B59" w:rsidRPr="00042EF1" w:rsidRDefault="005C1B59" w:rsidP="0042567A">
            <w:pPr>
              <w:pStyle w:val="ListParagraph"/>
              <w:rPr>
                <w:rFonts w:ascii="Times New Roman" w:hAnsi="Times New Roman" w:cs="Times New Roman"/>
                <w:sz w:val="20"/>
                <w:szCs w:val="20"/>
              </w:rPr>
            </w:pPr>
          </w:p>
          <w:p w14:paraId="3CA90A7C"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SGU has some experience in monitor/measurements of land based sources of pollution</w:t>
            </w:r>
          </w:p>
          <w:p w14:paraId="0A48DA94" w:rsidR="005C1B59" w:rsidRPr="00042EF1" w:rsidRDefault="005C1B59" w:rsidP="0042567A">
            <w:pPr>
              <w:pStyle w:val="ListParagraph"/>
              <w:rPr>
                <w:rFonts w:ascii="Times New Roman" w:hAnsi="Times New Roman" w:cs="Times New Roman"/>
                <w:sz w:val="20"/>
                <w:szCs w:val="20"/>
              </w:rPr>
            </w:pPr>
          </w:p>
          <w:p w14:paraId="1B0D04DC"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CEHI has competences and experiences in environmental monitor and measurement.</w:t>
            </w:r>
          </w:p>
          <w:p w14:paraId="1EF785C7" w:rsidR="005C1B59" w:rsidRPr="00042EF1" w:rsidRDefault="005C1B59" w:rsidP="0042567A">
            <w:pPr>
              <w:pStyle w:val="ListParagraph"/>
              <w:rPr>
                <w:rFonts w:ascii="Times New Roman" w:hAnsi="Times New Roman" w:cs="Times New Roman"/>
                <w:sz w:val="20"/>
                <w:szCs w:val="20"/>
              </w:rPr>
            </w:pPr>
          </w:p>
          <w:p w14:paraId="5A2CB55F"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CREMES (Barbados) has experience in environmental measurement and monitoring.</w:t>
            </w:r>
          </w:p>
          <w:p w14:paraId="259C3637" w:rsidR="005C1B59" w:rsidRPr="00042EF1" w:rsidRDefault="005C1B59" w:rsidP="0042567A">
            <w:pPr>
              <w:pStyle w:val="ListParagraph"/>
              <w:rPr>
                <w:rFonts w:ascii="Times New Roman" w:hAnsi="Times New Roman" w:cs="Times New Roman"/>
                <w:sz w:val="20"/>
                <w:szCs w:val="20"/>
              </w:rPr>
            </w:pPr>
          </w:p>
          <w:p w14:paraId="6050151E"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UWI has experience in M/M also these institutions, having special skills competencies and knowledge can therefore collaborate with the local operations agencies notably, hand use, fisher’s provision/MPA, NAWASA for satisfying certain specific objectives.</w:t>
            </w:r>
          </w:p>
          <w:p w14:paraId="5E5992E4" w:rsidR="005C1B59" w:rsidRPr="00042EF1" w:rsidRDefault="005C1B59" w:rsidP="0042567A">
            <w:pPr>
              <w:pStyle w:val="ListParagraph"/>
              <w:rPr>
                <w:rFonts w:ascii="Times New Roman" w:hAnsi="Times New Roman" w:cs="Times New Roman"/>
                <w:sz w:val="20"/>
                <w:szCs w:val="20"/>
              </w:rPr>
            </w:pPr>
          </w:p>
          <w:p w14:paraId="09FF7933"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The association of dive-services providers together with independent dive services operations are expected to collaborate with the MPA coordinating authority, the fisheries division for the purpose of negotiating and adopting best management practices (BMP) in the utilization of coral reef habitats and sea spaces. </w:t>
            </w:r>
          </w:p>
          <w:p w14:paraId="7549652D" w:rsidR="005C1B59" w:rsidRPr="00042EF1" w:rsidRDefault="005C1B59" w:rsidP="0042567A">
            <w:pPr>
              <w:pStyle w:val="ListParagraph"/>
              <w:rPr>
                <w:rFonts w:ascii="Times New Roman" w:hAnsi="Times New Roman" w:cs="Times New Roman"/>
                <w:sz w:val="20"/>
                <w:szCs w:val="20"/>
              </w:rPr>
            </w:pPr>
          </w:p>
          <w:p w14:paraId="3FC3760F" w:rsidR="005C1B59" w:rsidRPr="00042EF1" w:rsidRDefault="00877212" w:rsidP="00CA416F">
            <w:pPr>
              <w:pStyle w:val="ListParagraph"/>
              <w:numPr>
                <w:ilvl w:val="0"/>
                <w:numId w:val="10"/>
              </w:numPr>
              <w:rPr>
                <w:rFonts w:ascii="Times New Roman" w:hAnsi="Times New Roman" w:cs="Times New Roman"/>
                <w:sz w:val="20"/>
                <w:szCs w:val="20"/>
              </w:rPr>
            </w:pPr>
            <w:r>
              <w:rPr>
                <w:rFonts w:ascii="Times New Roman" w:hAnsi="Times New Roman" w:cs="Times New Roman"/>
                <w:sz w:val="20"/>
                <w:szCs w:val="20"/>
              </w:rPr>
              <w:t>P</w:t>
            </w:r>
            <w:r w:rsidR="005C1B59" w:rsidRPr="00042EF1">
              <w:rPr>
                <w:rFonts w:ascii="Times New Roman" w:hAnsi="Times New Roman" w:cs="Times New Roman"/>
                <w:sz w:val="20"/>
                <w:szCs w:val="20"/>
              </w:rPr>
              <w:t>rofessional non-profit bodies equipped with skills and experience for engaging local area</w:t>
            </w:r>
            <w:r>
              <w:rPr>
                <w:rFonts w:ascii="Times New Roman" w:hAnsi="Times New Roman" w:cs="Times New Roman"/>
                <w:sz w:val="20"/>
                <w:szCs w:val="20"/>
              </w:rPr>
              <w:t>,</w:t>
            </w:r>
            <w:r w:rsidR="005C1B59" w:rsidRPr="00042EF1">
              <w:rPr>
                <w:rFonts w:ascii="Times New Roman" w:hAnsi="Times New Roman" w:cs="Times New Roman"/>
                <w:sz w:val="20"/>
                <w:szCs w:val="20"/>
              </w:rPr>
              <w:t xml:space="preserve"> commonly groups and persons for the purpose of facilitating collaboration between Government agencies for funding agencies and these local area groups in order to apply the co-management approach for community-based INRM.</w:t>
            </w:r>
          </w:p>
          <w:p w14:paraId="0440B4E2" w:rsidR="005C1B59" w:rsidRPr="00042EF1" w:rsidRDefault="005C1B59" w:rsidP="0042567A">
            <w:pPr>
              <w:pStyle w:val="ListParagraph"/>
              <w:rPr>
                <w:rFonts w:ascii="Times New Roman" w:hAnsi="Times New Roman" w:cs="Times New Roman"/>
                <w:sz w:val="20"/>
                <w:szCs w:val="20"/>
              </w:rPr>
            </w:pPr>
          </w:p>
          <w:p w14:paraId="6DB07AE4" w:rsidR="005C1B59" w:rsidRPr="00042EF1" w:rsidRDefault="005C1B59" w:rsidP="00CA416F">
            <w:pPr>
              <w:pStyle w:val="ListParagraph"/>
              <w:numPr>
                <w:ilvl w:val="0"/>
                <w:numId w:val="10"/>
              </w:numPr>
              <w:rPr>
                <w:rFonts w:ascii="Times New Roman" w:hAnsi="Times New Roman" w:cs="Times New Roman"/>
                <w:sz w:val="20"/>
                <w:szCs w:val="20"/>
              </w:rPr>
            </w:pPr>
            <w:r w:rsidRPr="00042EF1">
              <w:rPr>
                <w:rFonts w:ascii="Times New Roman" w:hAnsi="Times New Roman" w:cs="Times New Roman"/>
                <w:sz w:val="20"/>
                <w:szCs w:val="20"/>
              </w:rPr>
              <w:t xml:space="preserve">Organized groups of persons dedicating to promoting the interest of communities such as farmers or fishers or landowners/farmers or commercial services or goods suppliers such group will collaborate with NGOs and Government agencies for enhancing SLM, SFM/REDD+ BD and CC mitigation measures. Examples being the Grenada chamber of Industry and Commerce in its support for the “outing “ of the use of GHG (Green House Gases); and concessionary loans for alternative energy sources such as solar panels. </w:t>
            </w:r>
          </w:p>
        </w:tc>
      </w:tr>
    </w:tbl>
    <w:p w14:paraId="6588201B" w:rsidR="005C1B59" w:rsidRPr="00DC4545" w:rsidRDefault="005C1B59" w:rsidP="005C1B59">
      <w:pPr>
        <w:spacing w:after="0" w:line="240" w:lineRule="auto"/>
        <w:rPr>
          <w:rFonts w:ascii="Times New Roman" w:hAnsi="Times New Roman" w:cs="Times New Roman"/>
          <w:b/>
        </w:rPr>
      </w:pPr>
    </w:p>
    <w:p w14:paraId="1372CEF7" w:rsidR="005C1B59" w:rsidRPr="00DC4545" w:rsidRDefault="005C1B59" w:rsidP="005C1B59">
      <w:pPr>
        <w:spacing w:after="0"/>
        <w:rPr>
          <w:rFonts w:ascii="Times New Roman" w:hAnsi="Times New Roman" w:cs="Times New Roman"/>
        </w:rPr>
      </w:pPr>
    </w:p>
    <w:p w14:paraId="6A16EB8E" w:rsidR="00133632" w:rsidRPr="00DC4545" w:rsidRDefault="00F165D0" w:rsidP="009C3E04">
      <w:pPr>
        <w:pStyle w:val="Heading1"/>
      </w:pPr>
      <w:bookmarkStart w:id="69" w:name="_Toc389820981"/>
      <w:r>
        <w:t>SECTION</w:t>
      </w:r>
      <w:r w:rsidR="00AC5BFE">
        <w:t xml:space="preserve"> V</w:t>
      </w:r>
      <w:r>
        <w:t>I</w:t>
      </w:r>
      <w:r w:rsidR="00133632" w:rsidRPr="00DC4545">
        <w:t>:  LEGAL</w:t>
      </w:r>
      <w:r w:rsidR="00204336">
        <w:t xml:space="preserve"> </w:t>
      </w:r>
      <w:r w:rsidR="00133632" w:rsidRPr="00DC4545">
        <w:t>CONTEXT</w:t>
      </w:r>
      <w:bookmarkEnd w:id="69"/>
    </w:p>
    <w:p w14:paraId="25766378" w:rsidR="00133632" w:rsidRPr="00DC4545" w:rsidRDefault="00133632" w:rsidP="009C3E04">
      <w:pPr>
        <w:widowControl w:val="0"/>
        <w:tabs>
          <w:tab w:val="left" w:pos="9360"/>
        </w:tabs>
        <w:autoSpaceDE w:val="0"/>
        <w:autoSpaceDN w:val="0"/>
        <w:adjustRightInd w:val="0"/>
        <w:spacing w:after="0"/>
        <w:rPr>
          <w:rFonts w:ascii="Times New Roman" w:hAnsi="Times New Roman" w:cs="Times New Roman"/>
        </w:rPr>
      </w:pPr>
    </w:p>
    <w:p w14:paraId="462B6778" w:rsidR="00133632" w:rsidRPr="00DC4545"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C4545">
        <w:rPr>
          <w:rFonts w:ascii="Times New Roman" w:hAnsi="Times New Roman" w:cs="Times New Roman"/>
        </w:rPr>
        <w:t>This Project Document shall be the instrument referred to as such in Article of the Standard Basic Assistance Agreement (SBAA) between the Government of Grenada and the UNDP signed by the parties. The host country implementing agency shall, for the purpose of the SBAA, refer to the government cooperating agency described in</w:t>
      </w:r>
      <w:r w:rsidR="00732997">
        <w:rPr>
          <w:rFonts w:ascii="Times New Roman" w:hAnsi="Times New Roman" w:cs="Times New Roman"/>
        </w:rPr>
        <w:t xml:space="preserve"> </w:t>
      </w:r>
      <w:r w:rsidRPr="00DC4545">
        <w:rPr>
          <w:rFonts w:ascii="Times New Roman" w:hAnsi="Times New Roman" w:cs="Times New Roman"/>
        </w:rPr>
        <w:t>that Agreement.</w:t>
      </w:r>
    </w:p>
    <w:p w14:paraId="5A3F06BC" w:rsidR="00133632" w:rsidRDefault="00133632" w:rsidP="00CA416F">
      <w:pPr>
        <w:pStyle w:val="ListParagraph"/>
        <w:numPr>
          <w:ilvl w:val="0"/>
          <w:numId w:val="27"/>
        </w:numPr>
        <w:spacing w:after="240" w:line="240" w:lineRule="auto"/>
        <w:ind w:left="0" w:firstLine="0"/>
        <w:contextualSpacing w:val="0"/>
        <w:jc w:val="both"/>
        <w:rPr>
          <w:rFonts w:ascii="Times New Roman" w:hAnsi="Times New Roman" w:cs="Times New Roman"/>
        </w:rPr>
      </w:pPr>
      <w:r w:rsidRPr="00D53640">
        <w:rPr>
          <w:rFonts w:ascii="Times New Roman" w:hAnsi="Times New Roman" w:cs="Times New Roman"/>
        </w:rPr>
        <w:t>The UNDP Resident Representative in Grenada is authorized to effect in writing the following types of revision to this Project Document, provided that he/she has verified the agreement thereto by the UN</w:t>
      </w:r>
      <w:r w:rsidR="00732997" w:rsidRPr="00D53640">
        <w:rPr>
          <w:rFonts w:ascii="Times New Roman" w:hAnsi="Times New Roman" w:cs="Times New Roman"/>
        </w:rPr>
        <w:t xml:space="preserve">DP-GEF Unit and </w:t>
      </w:r>
      <w:r w:rsidRPr="00D53640">
        <w:rPr>
          <w:rFonts w:ascii="Times New Roman" w:hAnsi="Times New Roman" w:cs="Times New Roman"/>
        </w:rPr>
        <w:t>is assured that the other signatories to the Project Document have no objection to the proposed changes: a)</w:t>
      </w:r>
      <w:r w:rsidR="00732997" w:rsidRPr="00D53640">
        <w:rPr>
          <w:rFonts w:ascii="Times New Roman" w:hAnsi="Times New Roman" w:cs="Times New Roman"/>
        </w:rPr>
        <w:t xml:space="preserve"> revision of,</w:t>
      </w:r>
      <w:r w:rsidRPr="00D53640">
        <w:rPr>
          <w:rFonts w:ascii="Times New Roman" w:hAnsi="Times New Roman" w:cs="Times New Roman"/>
        </w:rPr>
        <w:t xml:space="preserve"> or addition to, any of the annexes </w:t>
      </w:r>
      <w:r w:rsidR="00732997" w:rsidRPr="00D53640">
        <w:rPr>
          <w:rFonts w:ascii="Times New Roman" w:hAnsi="Times New Roman" w:cs="Times New Roman"/>
        </w:rPr>
        <w:t>i</w:t>
      </w:r>
      <w:r w:rsidRPr="00D53640">
        <w:rPr>
          <w:rFonts w:ascii="Times New Roman" w:hAnsi="Times New Roman" w:cs="Times New Roman"/>
        </w:rPr>
        <w:t>n the Project Document; b) revisions which do not involve significant changes in the immediate objectives, outputs or activities of the project,  but are caused by the rearrangement of the inputs already agreed to</w:t>
      </w:r>
      <w:r w:rsidR="00732997" w:rsidRPr="00D53640">
        <w:rPr>
          <w:rFonts w:ascii="Times New Roman" w:hAnsi="Times New Roman" w:cs="Times New Roman"/>
        </w:rPr>
        <w:t xml:space="preserve"> </w:t>
      </w:r>
      <w:r w:rsidRPr="00D53640">
        <w:rPr>
          <w:rFonts w:ascii="Times New Roman" w:hAnsi="Times New Roman" w:cs="Times New Roman"/>
        </w:rPr>
        <w:t>by</w:t>
      </w:r>
      <w:r w:rsidR="00732997" w:rsidRPr="00D53640">
        <w:rPr>
          <w:rFonts w:ascii="Times New Roman" w:hAnsi="Times New Roman" w:cs="Times New Roman"/>
        </w:rPr>
        <w:t xml:space="preserve"> </w:t>
      </w:r>
      <w:r w:rsidRPr="00D53640">
        <w:rPr>
          <w:rFonts w:ascii="Times New Roman" w:hAnsi="Times New Roman" w:cs="Times New Roman"/>
        </w:rPr>
        <w:t>cost</w:t>
      </w:r>
      <w:r w:rsidR="00732997" w:rsidRPr="00D53640">
        <w:rPr>
          <w:rFonts w:ascii="Times New Roman" w:hAnsi="Times New Roman" w:cs="Times New Roman"/>
        </w:rPr>
        <w:t xml:space="preserve"> </w:t>
      </w:r>
      <w:r w:rsidRPr="00D53640">
        <w:rPr>
          <w:rFonts w:ascii="Times New Roman" w:hAnsi="Times New Roman" w:cs="Times New Roman"/>
        </w:rPr>
        <w:t>increases due to inflation; c)</w:t>
      </w:r>
      <w:r w:rsidR="00732997" w:rsidRPr="00D53640">
        <w:rPr>
          <w:rFonts w:ascii="Times New Roman" w:hAnsi="Times New Roman" w:cs="Times New Roman"/>
        </w:rPr>
        <w:t xml:space="preserve"> </w:t>
      </w:r>
      <w:r w:rsidRPr="00D53640">
        <w:rPr>
          <w:rFonts w:ascii="Times New Roman" w:hAnsi="Times New Roman" w:cs="Times New Roman"/>
        </w:rPr>
        <w:t xml:space="preserve">mandatory </w:t>
      </w:r>
      <w:r w:rsidR="00732997" w:rsidRPr="00D53640">
        <w:rPr>
          <w:rFonts w:ascii="Times New Roman" w:hAnsi="Times New Roman" w:cs="Times New Roman"/>
        </w:rPr>
        <w:t>annual revisions which re-phase</w:t>
      </w:r>
      <w:r w:rsidRPr="00D53640">
        <w:rPr>
          <w:rFonts w:ascii="Times New Roman" w:hAnsi="Times New Roman" w:cs="Times New Roman"/>
        </w:rPr>
        <w:t xml:space="preserve"> the delivery of agreed project inputs or increased expert or other costs due to inflation or take into account agency expenditure flexibility; and</w:t>
      </w:r>
      <w:r w:rsidR="00732997" w:rsidRPr="00D53640">
        <w:rPr>
          <w:rFonts w:ascii="Times New Roman" w:hAnsi="Times New Roman" w:cs="Times New Roman"/>
        </w:rPr>
        <w:t xml:space="preserve"> d</w:t>
      </w:r>
      <w:r w:rsidRPr="00D53640">
        <w:rPr>
          <w:rFonts w:ascii="Times New Roman" w:hAnsi="Times New Roman" w:cs="Times New Roman"/>
        </w:rPr>
        <w:t>) inclusion of additional annexes and attachments only as</w:t>
      </w:r>
      <w:r w:rsidR="00732997" w:rsidRPr="00D53640">
        <w:rPr>
          <w:rFonts w:ascii="Times New Roman" w:hAnsi="Times New Roman" w:cs="Times New Roman"/>
        </w:rPr>
        <w:t xml:space="preserve"> </w:t>
      </w:r>
      <w:r w:rsidRPr="00D53640">
        <w:rPr>
          <w:rFonts w:ascii="Times New Roman" w:hAnsi="Times New Roman" w:cs="Times New Roman"/>
        </w:rPr>
        <w:t>set out here in this Project Document.</w:t>
      </w:r>
    </w:p>
    <w:p w14:paraId="55696A53" w:rsidR="00D53640" w:rsidRPr="006D7FB2" w:rsidRDefault="00D53640" w:rsidP="00D53640">
      <w:pPr>
        <w:pStyle w:val="ListParagraph"/>
        <w:tabs>
          <w:tab w:val="left" w:pos="7476"/>
        </w:tabs>
        <w:spacing w:after="240" w:line="240" w:lineRule="auto"/>
        <w:ind w:left="0"/>
        <w:contextualSpacing w:val="0"/>
        <w:jc w:val="both"/>
        <w:rPr>
          <w:rFonts w:ascii="Times New Roman" w:hAnsi="Times New Roman" w:cs="Times New Roman"/>
        </w:rPr>
      </w:pPr>
    </w:p>
    <w:sectPr w:rsidR="00D53640" w:rsidRPr="006D7FB2" w:rsidSect="006C0B28">
      <w:headerReference w:type="default" r:id="rId36"/>
      <w:pgSz w:w="12240" w:h="15840"/>
      <w:pgMar w:top="1440" w:right="1440" w:bottom="1440" w:left="99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2D355" w:rsidR="00D91893" w:rsidRDefault="00D91893" w:rsidP="00133632">
      <w:pPr>
        <w:spacing w:after="0" w:line="240" w:lineRule="auto"/>
      </w:pPr>
      <w:r>
        <w:separator/>
      </w:r>
    </w:p>
  </w:endnote>
  <w:endnote w:type="continuationSeparator" w:id="0">
    <w:p w14:paraId="3AFA9163" w:rsidR="00D91893" w:rsidRDefault="00D91893" w:rsidP="0013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learface Regular">
    <w:altName w:val="Cambria"/>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784315306"/>
      <w:docPartObj>
        <w:docPartGallery w:val="Page Numbers (Bottom of Page)"/>
        <w:docPartUnique/>
      </w:docPartObj>
    </w:sdtPr>
    <w:sdtEndPr>
      <w:rPr>
        <w:noProof/>
      </w:rPr>
    </w:sdtEndPr>
    <w:sdtContent>
      <w:p w14:paraId="00840C53" w:rsidR="003B23A1" w:rsidRPr="006D1BDE" w:rsidRDefault="003B23A1">
        <w:pPr>
          <w:pStyle w:val="Footer"/>
          <w:jc w:val="center"/>
          <w:rPr>
            <w:rFonts w:ascii="Times New Roman" w:hAnsi="Times New Roman" w:cs="Times New Roman"/>
            <w:sz w:val="20"/>
            <w:szCs w:val="20"/>
          </w:rPr>
        </w:pPr>
        <w:r w:rsidRPr="006D1BDE">
          <w:rPr>
            <w:rFonts w:ascii="Times New Roman" w:hAnsi="Times New Roman" w:cs="Times New Roman"/>
            <w:sz w:val="20"/>
            <w:szCs w:val="20"/>
          </w:rPr>
          <w:fldChar w:fldCharType="begin"/>
        </w:r>
        <w:r w:rsidRPr="006D1BDE">
          <w:rPr>
            <w:rFonts w:ascii="Times New Roman" w:hAnsi="Times New Roman" w:cs="Times New Roman"/>
            <w:sz w:val="20"/>
            <w:szCs w:val="20"/>
          </w:rPr>
          <w:instrText xml:space="preserve"> PAGE   \* MERGEFORMAT </w:instrText>
        </w:r>
        <w:r w:rsidRPr="006D1BDE">
          <w:rPr>
            <w:rFonts w:ascii="Times New Roman" w:hAnsi="Times New Roman" w:cs="Times New Roman"/>
            <w:sz w:val="20"/>
            <w:szCs w:val="20"/>
          </w:rPr>
          <w:fldChar w:fldCharType="separate"/>
        </w:r>
        <w:r w:rsidR="00F050A3">
          <w:rPr>
            <w:rFonts w:ascii="Times New Roman" w:hAnsi="Times New Roman" w:cs="Times New Roman"/>
            <w:noProof/>
            <w:sz w:val="20"/>
            <w:szCs w:val="20"/>
          </w:rPr>
          <w:t>1</w:t>
        </w:r>
        <w:r w:rsidRPr="006D1BDE">
          <w:rPr>
            <w:rFonts w:ascii="Times New Roman" w:hAnsi="Times New Roman" w:cs="Times New Roman"/>
            <w:noProof/>
            <w:sz w:val="20"/>
            <w:szCs w:val="20"/>
          </w:rPr>
          <w:fldChar w:fldCharType="end"/>
        </w:r>
      </w:p>
    </w:sdtContent>
  </w:sdt>
  <w:p w14:paraId="1D884F9F" w:rsidR="003B23A1" w:rsidRPr="00F92E43" w:rsidRDefault="003B23A1" w:rsidP="00005220">
    <w:pPr>
      <w:tabs>
        <w:tab w:val="left" w:pos="6428"/>
      </w:tabs>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738285837"/>
      <w:docPartObj>
        <w:docPartGallery w:val="Page Numbers (Bottom of Page)"/>
        <w:docPartUnique/>
      </w:docPartObj>
    </w:sdtPr>
    <w:sdtEndPr>
      <w:rPr>
        <w:noProof/>
      </w:rPr>
    </w:sdtEndPr>
    <w:sdtContent>
      <w:p w14:paraId="12E63727" w:rsidR="003B23A1" w:rsidRPr="006D1BDE" w:rsidRDefault="003B23A1">
        <w:pPr>
          <w:pStyle w:val="Footer"/>
          <w:jc w:val="center"/>
          <w:rPr>
            <w:rFonts w:ascii="Times New Roman" w:hAnsi="Times New Roman" w:cs="Times New Roman"/>
            <w:sz w:val="20"/>
            <w:szCs w:val="20"/>
          </w:rPr>
        </w:pPr>
        <w:r w:rsidRPr="006D1BDE">
          <w:rPr>
            <w:rFonts w:ascii="Times New Roman" w:hAnsi="Times New Roman" w:cs="Times New Roman"/>
            <w:sz w:val="20"/>
            <w:szCs w:val="20"/>
          </w:rPr>
          <w:fldChar w:fldCharType="begin"/>
        </w:r>
        <w:r w:rsidRPr="006D1BDE">
          <w:rPr>
            <w:rFonts w:ascii="Times New Roman" w:hAnsi="Times New Roman" w:cs="Times New Roman"/>
            <w:sz w:val="20"/>
            <w:szCs w:val="20"/>
          </w:rPr>
          <w:instrText xml:space="preserve"> PAGE   \* MERGEFORMAT </w:instrText>
        </w:r>
        <w:r w:rsidRPr="006D1BDE">
          <w:rPr>
            <w:rFonts w:ascii="Times New Roman" w:hAnsi="Times New Roman" w:cs="Times New Roman"/>
            <w:sz w:val="20"/>
            <w:szCs w:val="20"/>
          </w:rPr>
          <w:fldChar w:fldCharType="separate"/>
        </w:r>
        <w:r w:rsidR="00F050A3">
          <w:rPr>
            <w:rFonts w:ascii="Times New Roman" w:hAnsi="Times New Roman" w:cs="Times New Roman"/>
            <w:noProof/>
            <w:sz w:val="20"/>
            <w:szCs w:val="20"/>
          </w:rPr>
          <w:t>21</w:t>
        </w:r>
        <w:r w:rsidRPr="006D1BDE">
          <w:rPr>
            <w:rFonts w:ascii="Times New Roman" w:hAnsi="Times New Roman" w:cs="Times New Roman"/>
            <w:noProof/>
            <w:sz w:val="20"/>
            <w:szCs w:val="20"/>
          </w:rPr>
          <w:fldChar w:fldCharType="end"/>
        </w:r>
      </w:p>
    </w:sdtContent>
  </w:sdt>
  <w:p w14:paraId="4F4E4930" w:rsidR="003B23A1" w:rsidRPr="00F92E43" w:rsidRDefault="003B23A1" w:rsidP="00005220">
    <w:pPr>
      <w:tabs>
        <w:tab w:val="left" w:pos="6428"/>
      </w:tabs>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F3628" w:rsidR="00D91893" w:rsidRDefault="00D91893" w:rsidP="00133632">
      <w:pPr>
        <w:spacing w:after="0" w:line="240" w:lineRule="auto"/>
      </w:pPr>
      <w:r>
        <w:separator/>
      </w:r>
    </w:p>
  </w:footnote>
  <w:footnote w:type="continuationSeparator" w:id="0">
    <w:p w14:paraId="4A932EE1" w:rsidR="00D91893" w:rsidRDefault="00D91893" w:rsidP="00133632">
      <w:pPr>
        <w:spacing w:after="0" w:line="240" w:lineRule="auto"/>
      </w:pPr>
      <w:r>
        <w:continuationSeparator/>
      </w:r>
    </w:p>
  </w:footnote>
  <w:footnote w:id="1">
    <w:p w14:paraId="74100607" w:rsidR="003B23A1" w:rsidRDefault="003B23A1">
      <w:pPr>
        <w:pStyle w:val="FootnoteText"/>
      </w:pPr>
      <w:r>
        <w:rPr>
          <w:rStyle w:val="FootnoteReference"/>
        </w:rPr>
        <w:footnoteRef/>
      </w:r>
      <w:r>
        <w:t xml:space="preserve"> </w:t>
      </w:r>
      <w:r w:rsidRPr="008C70E9">
        <w:t>Beard J.S.(1949) The Natural Vegetation of the Windward and Leeward Islands, Oxford</w:t>
      </w:r>
      <w:r>
        <w:t>.</w:t>
      </w:r>
    </w:p>
  </w:footnote>
  <w:footnote w:id="2">
    <w:p w14:paraId="78286CEC" w:rsidR="003B23A1" w:rsidRDefault="003B23A1" w:rsidP="004A3EE8">
      <w:pPr>
        <w:pStyle w:val="FootnoteText"/>
      </w:pPr>
      <w:r>
        <w:rPr>
          <w:rStyle w:val="FootnoteReference"/>
        </w:rPr>
        <w:footnoteRef/>
      </w:r>
      <w:r>
        <w:t xml:space="preserve"> </w:t>
      </w:r>
      <w:r w:rsidRPr="008C70E9">
        <w:t>Groome, J.R. 1970.A Natural History of the Island of Grenada W.I. Caribbean Printers, Trinidad.</w:t>
      </w:r>
    </w:p>
  </w:footnote>
  <w:footnote w:id="3">
    <w:p w14:paraId="70613E5A" w:rsidR="003B23A1" w:rsidRDefault="003B23A1">
      <w:pPr>
        <w:pStyle w:val="FootnoteText"/>
      </w:pPr>
      <w:r>
        <w:rPr>
          <w:rStyle w:val="FootnoteReference"/>
        </w:rPr>
        <w:footnoteRef/>
      </w:r>
      <w:r>
        <w:t xml:space="preserve"> </w:t>
      </w:r>
      <w:r w:rsidRPr="007E69CB">
        <w:t>Devas; R.P. 1954 Birds of Grenada and the Grenadines Yule Printers, Trinidad.</w:t>
      </w:r>
    </w:p>
  </w:footnote>
  <w:footnote w:id="4">
    <w:p w14:paraId="18D52C64" w:rsidR="003B23A1" w:rsidRDefault="003B23A1">
      <w:pPr>
        <w:pStyle w:val="FootnoteText"/>
      </w:pPr>
      <w:r>
        <w:rPr>
          <w:rStyle w:val="FootnoteReference"/>
        </w:rPr>
        <w:footnoteRef/>
      </w:r>
      <w:r>
        <w:t xml:space="preserve"> </w:t>
      </w:r>
      <w:r w:rsidRPr="007E69CB">
        <w:t>Vincent, G. 1981 (See S. Aucoin Outcomes of the FSP Project Preparation Process (2013/14)</w:t>
      </w:r>
    </w:p>
  </w:footnote>
  <w:footnote w:id="5">
    <w:p w14:paraId="38B09B77" w:rsidR="003B23A1" w:rsidRDefault="003B23A1" w:rsidP="00956797">
      <w:pPr>
        <w:pStyle w:val="FootnoteText"/>
      </w:pPr>
      <w:r>
        <w:rPr>
          <w:rStyle w:val="FootnoteReference"/>
        </w:rPr>
        <w:footnoteRef/>
      </w:r>
      <w:r>
        <w:t xml:space="preserve"> Finlay</w:t>
      </w:r>
      <w:r w:rsidRPr="00956797">
        <w:t xml:space="preserve"> </w:t>
      </w:r>
      <w:r>
        <w:t>(</w:t>
      </w:r>
      <w:r w:rsidRPr="00956797">
        <w:t>1999</w:t>
      </w:r>
      <w:r>
        <w:t>)</w:t>
      </w:r>
      <w:r w:rsidRPr="00956797">
        <w:t xml:space="preserve"> </w:t>
      </w:r>
      <w:r w:rsidRPr="007E69CB">
        <w:t>(See S. Aucoin Outcomes of the FSP Project Preparation Process (2013/14)</w:t>
      </w:r>
    </w:p>
    <w:p w14:paraId="1A31B2C7" w:rsidR="003B23A1" w:rsidRDefault="003B23A1">
      <w:pPr>
        <w:pStyle w:val="FootnoteText"/>
      </w:pPr>
    </w:p>
  </w:footnote>
  <w:footnote w:id="6">
    <w:p w14:paraId="4A4128D9" w:rsidR="003B23A1" w:rsidRDefault="003B23A1">
      <w:pPr>
        <w:pStyle w:val="FootnoteText"/>
      </w:pPr>
      <w:r>
        <w:rPr>
          <w:rStyle w:val="FootnoteReference"/>
        </w:rPr>
        <w:footnoteRef/>
      </w:r>
      <w:r>
        <w:t xml:space="preserve"> </w:t>
      </w:r>
      <w:r w:rsidRPr="00436A96">
        <w:t>Roberts, D (See Outcomes of the FSP Project Preparation Process (2013/14)</w:t>
      </w:r>
    </w:p>
  </w:footnote>
  <w:footnote w:id="7">
    <w:p w14:paraId="54829C7E" w:rsidR="003B23A1" w:rsidRDefault="003B23A1" w:rsidP="009746EB">
      <w:pPr>
        <w:pStyle w:val="FootnoteText"/>
      </w:pPr>
      <w:r>
        <w:rPr>
          <w:rStyle w:val="FootnoteReference"/>
        </w:rPr>
        <w:footnoteRef/>
      </w:r>
      <w:r>
        <w:t xml:space="preserve"> Bibliographic evidence provided in Annexes 1 and 2.</w:t>
      </w:r>
    </w:p>
  </w:footnote>
  <w:footnote w:id="8">
    <w:p w14:paraId="19914E6A" w:rsidR="003B23A1" w:rsidRDefault="003B23A1" w:rsidP="004A3EE8">
      <w:pPr>
        <w:pStyle w:val="FootnoteText"/>
      </w:pPr>
      <w:r>
        <w:rPr>
          <w:rStyle w:val="FootnoteReference"/>
        </w:rPr>
        <w:footnoteRef/>
      </w:r>
      <w:r>
        <w:t xml:space="preserve"> </w:t>
      </w:r>
      <w:r w:rsidRPr="00DC3966">
        <w:t>Finlay (1999) (See S. Aucoin Outcomes of the FSP Project Preparation Process (2013/14)</w:t>
      </w:r>
    </w:p>
  </w:footnote>
  <w:footnote w:id="9">
    <w:p w14:paraId="5B940A73" w:rsidR="003B23A1" w:rsidRDefault="003B23A1" w:rsidP="00982B00">
      <w:pPr>
        <w:pStyle w:val="FootnoteText"/>
      </w:pPr>
      <w:r>
        <w:rPr>
          <w:rStyle w:val="FootnoteReference"/>
        </w:rPr>
        <w:footnoteRef/>
      </w:r>
      <w:r>
        <w:t xml:space="preserve"> </w:t>
      </w:r>
      <w:r w:rsidRPr="007E69CB">
        <w:t>Dunn (1999) (See S. Aucoin Outcomes of the FSP Project Preparation Process (2013/14)</w:t>
      </w:r>
    </w:p>
  </w:footnote>
  <w:footnote w:id="10">
    <w:p w14:paraId="5BDA39D5" w:rsidR="003B23A1" w:rsidRDefault="003B23A1">
      <w:pPr>
        <w:pStyle w:val="FootnoteText"/>
      </w:pPr>
      <w:r>
        <w:rPr>
          <w:rStyle w:val="FootnoteReference"/>
        </w:rPr>
        <w:footnoteRef/>
      </w:r>
      <w:r>
        <w:t xml:space="preserve"> </w:t>
      </w:r>
      <w:r w:rsidRPr="0085438A">
        <w:t>Project Prep. Form (PIF)/PPP Docs: Report on Ecological and Socioeconomic Conditions with Respect to the PAs Management (2013); Ecological and Socio-Economic Conditions in the Beausejour Watershed (2013).</w:t>
      </w:r>
    </w:p>
  </w:footnote>
  <w:footnote w:id="11">
    <w:p w14:paraId="7814F03E" w:rsidR="003B23A1" w:rsidRDefault="003B23A1">
      <w:pPr>
        <w:pStyle w:val="FootnoteText"/>
      </w:pPr>
      <w:r>
        <w:rPr>
          <w:rStyle w:val="FootnoteReference"/>
        </w:rPr>
        <w:footnoteRef/>
      </w:r>
      <w:r>
        <w:t xml:space="preserve"> </w:t>
      </w:r>
      <w:r w:rsidRPr="0032751C">
        <w:t>Nimrod et.al. 2013 Nutrient and Sediment Inputs of the Beausejour Watershed , OAS Wash. D</w:t>
      </w:r>
      <w:r>
        <w:t>.</w:t>
      </w:r>
      <w:r w:rsidRPr="0032751C">
        <w:t>C.</w:t>
      </w:r>
    </w:p>
  </w:footnote>
  <w:footnote w:id="12">
    <w:p w14:paraId="725D6D26" w:rsidR="003B23A1" w:rsidRDefault="003B23A1">
      <w:pPr>
        <w:pStyle w:val="FootnoteText"/>
      </w:pPr>
      <w:r>
        <w:rPr>
          <w:rStyle w:val="FootnoteReference"/>
        </w:rPr>
        <w:footnoteRef/>
      </w:r>
      <w:r>
        <w:t xml:space="preserve"> </w:t>
      </w:r>
      <w:r w:rsidRPr="00243545">
        <w:t>Turner, M. (2011) Grenada Protected Areas System Plan. OECS Sect</w:t>
      </w:r>
    </w:p>
  </w:footnote>
  <w:footnote w:id="13">
    <w:p w14:paraId="7706D820" w:rsidR="003B23A1" w:rsidRDefault="003B23A1" w:rsidP="00495073">
      <w:pPr>
        <w:pStyle w:val="FootnoteText"/>
      </w:pPr>
      <w:r>
        <w:rPr>
          <w:rStyle w:val="FootnoteReference"/>
        </w:rPr>
        <w:footnoteRef/>
      </w:r>
      <w:r>
        <w:t xml:space="preserve"> </w:t>
      </w:r>
      <w:r w:rsidRPr="00436A96">
        <w:t>Roberts, D (See Outcomes of the FSP Project Preparation Process (2013/14)</w:t>
      </w:r>
    </w:p>
  </w:footnote>
  <w:footnote w:id="14">
    <w:p w14:paraId="08FA2D5E" w:rsidR="003B23A1" w:rsidRDefault="003B23A1">
      <w:pPr>
        <w:pStyle w:val="FootnoteText"/>
      </w:pPr>
      <w:r>
        <w:rPr>
          <w:rStyle w:val="FootnoteReference"/>
        </w:rPr>
        <w:footnoteRef/>
      </w:r>
      <w:r>
        <w:t xml:space="preserve"> </w:t>
      </w:r>
      <w:r w:rsidRPr="00617E80">
        <w:t>http://caribbeanclimateblog.com/2013/11/25/caribbean-aqua-terrestrial-solutions-launched-in-grenada-7-countries-to-follow/</w:t>
      </w:r>
    </w:p>
  </w:footnote>
  <w:footnote w:id="15">
    <w:p w14:paraId="6AD44A2C" w:rsidR="003B23A1" w:rsidRDefault="003B23A1">
      <w:pPr>
        <w:pStyle w:val="FootnoteText"/>
      </w:pPr>
      <w:r>
        <w:rPr>
          <w:rStyle w:val="FootnoteReference"/>
        </w:rPr>
        <w:footnoteRef/>
      </w:r>
      <w:r>
        <w:t xml:space="preserve"> </w:t>
      </w:r>
      <w:r w:rsidRPr="00470CE4">
        <w:t>TNC/USAID (</w:t>
      </w:r>
      <w:r>
        <w:t>2006</w:t>
      </w:r>
      <w:r w:rsidRPr="00470CE4">
        <w:t>). Grenada National Protected Area System Gap Analysis</w:t>
      </w:r>
      <w:r>
        <w:t>.</w:t>
      </w:r>
    </w:p>
  </w:footnote>
  <w:footnote w:id="16">
    <w:p w14:paraId="4742BC32" w:rsidR="003B23A1" w:rsidRDefault="003B23A1" w:rsidP="003625B2">
      <w:pPr>
        <w:pStyle w:val="FootnoteText"/>
        <w:jc w:val="both"/>
      </w:pPr>
      <w:r>
        <w:rPr>
          <w:rStyle w:val="FootnoteReference"/>
        </w:rPr>
        <w:footnoteRef/>
      </w:r>
      <w:r>
        <w:t xml:space="preserve"> </w:t>
      </w:r>
      <w:r w:rsidRPr="003625B2">
        <w:t xml:space="preserve">Ecological and Socio-economic Conditions around PAs (S. Aucoin) and Ecological and Socio-economic conditions in the Beausejour Watershed (D. Roberts) as </w:t>
      </w:r>
      <w:r>
        <w:t xml:space="preserve">PPG </w:t>
      </w:r>
      <w:r w:rsidRPr="003625B2">
        <w:t>Baseline Studies (2013/14)</w:t>
      </w:r>
      <w:r>
        <w:t>. Detailed bibliographic references are provided in the corresponding Annexes to this ProDoc</w:t>
      </w:r>
      <w:r w:rsidRPr="003625B2">
        <w:t>.</w:t>
      </w:r>
    </w:p>
  </w:footnote>
  <w:footnote w:id="17">
    <w:p w14:paraId="173B02EB" w:rsidR="003B23A1" w:rsidRDefault="003B23A1">
      <w:pPr>
        <w:pStyle w:val="FootnoteText"/>
      </w:pPr>
      <w:r>
        <w:rPr>
          <w:rStyle w:val="FootnoteReference"/>
        </w:rPr>
        <w:footnoteRef/>
      </w:r>
      <w:r>
        <w:t xml:space="preserve"> </w:t>
      </w:r>
      <w:r w:rsidRPr="00F81685">
        <w:t>Constantine, S. 2011. Supporting Country Action on the Convention on Biological Diversity Programme of Work on Protected Areas: Willingness-to-Pay Study for Grenada. 82p</w:t>
      </w:r>
      <w:r>
        <w:t>.  However, given the small, dispersed parcels of some areas, baseline studies determined that some areas might not be ideal for a traditional Visitor Fee scheme, and therefore need to consider other revenue-raising mechanisms as well, to be determined in the individual PA Business Plans.</w:t>
      </w:r>
    </w:p>
  </w:footnote>
  <w:footnote w:id="18">
    <w:p w14:paraId="3ACF3964" w:rsidR="003B23A1" w:rsidRDefault="003B23A1" w:rsidP="003625B2">
      <w:pPr>
        <w:pStyle w:val="FootnoteText"/>
      </w:pPr>
      <w:r>
        <w:rPr>
          <w:rStyle w:val="FootnoteReference"/>
        </w:rPr>
        <w:footnoteRef/>
      </w:r>
      <w:r>
        <w:t xml:space="preserve"> </w:t>
      </w:r>
      <w:r w:rsidRPr="00B857C7">
        <w:t>OECS Protected Areas and Associated Livelihood (OPAAL), 2005-2011</w:t>
      </w:r>
    </w:p>
  </w:footnote>
  <w:footnote w:id="19">
    <w:p w14:paraId="26B28E05" w:rsidR="003B23A1" w:rsidRDefault="003B23A1" w:rsidP="00C54044">
      <w:pPr>
        <w:pStyle w:val="FootnoteText"/>
      </w:pPr>
      <w:r>
        <w:rPr>
          <w:rStyle w:val="FootnoteReference"/>
        </w:rPr>
        <w:footnoteRef/>
      </w:r>
      <w:r>
        <w:t xml:space="preserve"> </w:t>
      </w:r>
      <w:r w:rsidRPr="00C926FA">
        <w:t>Ecological and Socio-economic Conditions around PAs (S. Aucoin) and Ecological and Socio-economic conditions in the Beausejour Watershed (D. Roberts) as PPG Baseline Studies (2013/14). Detailed bibliographic references are provided in the corresponding Annexes to this ProDoc.</w:t>
      </w:r>
    </w:p>
  </w:footnote>
  <w:footnote w:id="20">
    <w:p w14:paraId="17F0F4B7" w:rsidR="003B23A1" w:rsidRDefault="003B23A1" w:rsidP="005774E3">
      <w:pPr>
        <w:pStyle w:val="FootnoteText"/>
        <w:jc w:val="both"/>
      </w:pPr>
      <w:r>
        <w:rPr>
          <w:rStyle w:val="FootnoteReference"/>
        </w:rPr>
        <w:footnoteRef/>
      </w:r>
      <w:r>
        <w:t xml:space="preserve"> </w:t>
      </w:r>
      <w:r w:rsidRPr="009C2E99">
        <w:t xml:space="preserve">Statistical data is provided on gross income </w:t>
      </w:r>
      <w:r>
        <w:t xml:space="preserve">from 2013 </w:t>
      </w:r>
      <w:r w:rsidRPr="009C2E99">
        <w:t>for each of the 6 communities participating in these pilots.  However, the data does not specify the income of farmers, a sector expected to show increased revenue through the adoption and application of SFM/SLM/INRM practices through the project’s interventions.</w:t>
      </w:r>
      <w:r>
        <w:t xml:space="preserve"> In-depth research is needed to provide this level of detail for the baseline as well as tracking throughout the project to show impact/benefits from SLM and SFM practices on farmers’ incomes. The MoA partnered with UWI 2 years ago to implement the LD assessment methodology; however, the tools used were very simple and user friendly and probably would not provide the kinds of evidence-based data needed. The project can partner with UWI, CEHI and the Department of Public Health at St. George's University to help develop this. Development of the research proposal should therefore be a key activity in the first year to guide the collection of baseline data.</w:t>
      </w:r>
    </w:p>
  </w:footnote>
  <w:footnote w:id="21">
    <w:p w14:paraId="1C9EF836" w:rsidR="003B23A1" w:rsidRDefault="003B23A1">
      <w:pPr>
        <w:pStyle w:val="FootnoteText"/>
      </w:pPr>
      <w:r>
        <w:rPr>
          <w:rStyle w:val="FootnoteReference"/>
        </w:rPr>
        <w:footnoteRef/>
      </w:r>
      <w:r>
        <w:t xml:space="preserve"> Data for 2013 provided by the Office of Central Statistics.</w:t>
      </w:r>
    </w:p>
  </w:footnote>
  <w:footnote w:id="22">
    <w:p w14:paraId="2188D630" w:rsidR="003B23A1" w:rsidRPr="005D23A2" w:rsidRDefault="003B23A1" w:rsidP="009252F4">
      <w:pPr>
        <w:pStyle w:val="FootnoteText"/>
        <w:rPr>
          <w:rFonts w:cs="Times New Roman"/>
        </w:rPr>
      </w:pPr>
      <w:r w:rsidRPr="005D23A2">
        <w:rPr>
          <w:rStyle w:val="FootnoteReference"/>
          <w:rFonts w:cs="Times New Roman"/>
        </w:rPr>
        <w:footnoteRef/>
      </w:r>
      <w:r w:rsidRPr="005D23A2">
        <w:rPr>
          <w:rFonts w:cs="Times New Roman"/>
        </w:rPr>
        <w:t xml:space="preserve"> Q2 = Existence of operational co-management mechanisms.</w:t>
      </w:r>
    </w:p>
    <w:p w14:paraId="0BDC3083" w:rsidR="003B23A1" w:rsidRPr="005D23A2" w:rsidRDefault="003B23A1" w:rsidP="009252F4">
      <w:pPr>
        <w:pStyle w:val="FootnoteText"/>
        <w:rPr>
          <w:rFonts w:cs="Times New Roman"/>
        </w:rPr>
      </w:pPr>
      <w:r w:rsidRPr="005D23A2">
        <w:rPr>
          <w:rFonts w:cs="Times New Roman"/>
        </w:rPr>
        <w:t>Q10 = Existence of an adequate environmental policy and regulatory frameworks</w:t>
      </w:r>
    </w:p>
    <w:p w14:paraId="233D95FF" w:rsidR="003B23A1" w:rsidRPr="005D23A2" w:rsidRDefault="003B23A1" w:rsidP="009252F4">
      <w:pPr>
        <w:pStyle w:val="FootnoteText"/>
        <w:rPr>
          <w:rFonts w:cs="Times New Roman"/>
        </w:rPr>
      </w:pPr>
      <w:r w:rsidRPr="005D23A2">
        <w:rPr>
          <w:rFonts w:cs="Times New Roman"/>
        </w:rPr>
        <w:t>Q11=</w:t>
      </w:r>
      <w:r w:rsidRPr="005D23A2">
        <w:t xml:space="preserve"> </w:t>
      </w:r>
      <w:r w:rsidRPr="005D23A2">
        <w:rPr>
          <w:rFonts w:cs="Times New Roman"/>
        </w:rPr>
        <w:t>Adequacy of the environmental information available for decision-making.</w:t>
      </w:r>
    </w:p>
    <w:p w14:paraId="08A4A114" w:rsidR="003B23A1" w:rsidRPr="005D23A2" w:rsidRDefault="003B23A1" w:rsidP="009252F4">
      <w:pPr>
        <w:pStyle w:val="FootnoteText"/>
        <w:rPr>
          <w:rFonts w:cs="Times New Roman"/>
        </w:rPr>
      </w:pPr>
      <w:r w:rsidRPr="005D23A2">
        <w:rPr>
          <w:rFonts w:cs="Times New Roman"/>
        </w:rPr>
        <w:t>Q13=</w:t>
      </w:r>
      <w:r w:rsidRPr="005D23A2">
        <w:t xml:space="preserve"> </w:t>
      </w:r>
      <w:r w:rsidRPr="005D23A2">
        <w:rPr>
          <w:rFonts w:cs="Times New Roman"/>
        </w:rPr>
        <w:t>Availability of required technical skills and technology transfer.</w:t>
      </w:r>
    </w:p>
    <w:p w14:paraId="1A545D68" w:rsidR="003B23A1" w:rsidRPr="00ED527E" w:rsidRDefault="003B23A1" w:rsidP="009252F4">
      <w:pPr>
        <w:pStyle w:val="FootnoteText"/>
        <w:tabs>
          <w:tab w:val="left" w:pos="838"/>
        </w:tabs>
        <w:rPr>
          <w:rFonts w:cs="Times New Roman"/>
          <w:color w:val="7030A0"/>
        </w:rPr>
      </w:pPr>
      <w:r w:rsidRPr="005D23A2">
        <w:rPr>
          <w:rFonts w:cs="Times New Roman"/>
        </w:rPr>
        <w:t>Q14=</w:t>
      </w:r>
      <w:r w:rsidRPr="005D23A2">
        <w:t xml:space="preserve"> </w:t>
      </w:r>
      <w:r w:rsidRPr="005D23A2">
        <w:rPr>
          <w:rFonts w:cs="Times New Roman"/>
        </w:rPr>
        <w:t>Adequacy of the project/programme monitoring process.</w:t>
      </w:r>
      <w:r w:rsidRPr="00ED527E">
        <w:rPr>
          <w:rFonts w:cs="Times New Roman"/>
          <w:color w:val="7030A0"/>
        </w:rPr>
        <w:tab/>
      </w:r>
    </w:p>
  </w:footnote>
  <w:footnote w:id="23">
    <w:p w14:paraId="5F37F334" w:rsidR="003B23A1" w:rsidRDefault="003B23A1">
      <w:pPr>
        <w:pStyle w:val="FootnoteText"/>
      </w:pPr>
      <w:r>
        <w:rPr>
          <w:rStyle w:val="FootnoteReference"/>
        </w:rPr>
        <w:footnoteRef/>
      </w:r>
      <w:r>
        <w:t xml:space="preserve"> Statistical data is provided on p. 48 for gross income for each of the 6 communities participating in these pilots.  However, the data does not specify the income of farmers, a sector expected to show increased revenue through the adoption and application of SFM/SLM/INRM practices through the project’s interventions.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F889" w:rsidR="003B23A1" w:rsidRPr="0075369C" w:rsidRDefault="003B23A1">
    <w:pPr>
      <w:pStyle w:val="Header"/>
      <w:rPr>
        <w:rFonts w:ascii="Times New Roman" w:hAnsi="Times New Roman" w:cs="Times New Roman"/>
        <w:b/>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73397" w:rsidR="003B23A1" w:rsidRPr="00E159E6" w:rsidRDefault="003B23A1" w:rsidP="000052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19D9D" w:rsidR="003B23A1" w:rsidRPr="00E159E6" w:rsidRDefault="003B23A1" w:rsidP="000052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773D2"/>
    <w:multiLevelType w:val="hybridMultilevel"/>
    <w:tmpl w:val="0AD4C8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571CA"/>
    <w:multiLevelType w:val="hybridMultilevel"/>
    <w:tmpl w:val="56F8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02602"/>
    <w:multiLevelType w:val="hybridMultilevel"/>
    <w:tmpl w:val="C98C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61895"/>
    <w:multiLevelType w:val="hybridMultilevel"/>
    <w:tmpl w:val="EAB028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103673"/>
    <w:multiLevelType w:val="hybridMultilevel"/>
    <w:tmpl w:val="FA3671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1D498B"/>
    <w:multiLevelType w:val="hybridMultilevel"/>
    <w:tmpl w:val="F96A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AD4320"/>
    <w:multiLevelType w:val="hybridMultilevel"/>
    <w:tmpl w:val="0A64F37C"/>
    <w:lvl w:ilvl="0" w:tplc="404C0182">
      <w:start w:val="1"/>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636515"/>
    <w:multiLevelType w:val="hybridMultilevel"/>
    <w:tmpl w:val="F6F8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A45F99"/>
    <w:multiLevelType w:val="multilevel"/>
    <w:tmpl w:val="BA26C3F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B0C0359"/>
    <w:multiLevelType w:val="hybridMultilevel"/>
    <w:tmpl w:val="72FA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0A4201"/>
    <w:multiLevelType w:val="hybridMultilevel"/>
    <w:tmpl w:val="BD2CC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404909"/>
    <w:multiLevelType w:val="hybridMultilevel"/>
    <w:tmpl w:val="219CB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8B3515"/>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2E045DD"/>
    <w:multiLevelType w:val="hybridMultilevel"/>
    <w:tmpl w:val="F6FA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1E24A2"/>
    <w:multiLevelType w:val="hybridMultilevel"/>
    <w:tmpl w:val="B284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E156AA"/>
    <w:multiLevelType w:val="hybridMultilevel"/>
    <w:tmpl w:val="44AAC08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4E0506"/>
    <w:multiLevelType w:val="hybridMultilevel"/>
    <w:tmpl w:val="BDB8B00C"/>
    <w:lvl w:ilvl="0" w:tplc="EBF266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3B4024"/>
    <w:multiLevelType w:val="hybridMultilevel"/>
    <w:tmpl w:val="B010DEC8"/>
    <w:lvl w:ilvl="0" w:tplc="1B4E0392">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F567FE"/>
    <w:multiLevelType w:val="hybridMultilevel"/>
    <w:tmpl w:val="B5EC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135BC5"/>
    <w:multiLevelType w:val="hybridMultilevel"/>
    <w:tmpl w:val="573039F8"/>
    <w:lvl w:ilvl="0" w:tplc="404C0182">
      <w:start w:val="1"/>
      <w:numFmt w:val="bullet"/>
      <w:lvlText w:val="-"/>
      <w:lvlJc w:val="left"/>
      <w:pPr>
        <w:ind w:left="72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53579"/>
    <w:multiLevelType w:val="hybridMultilevel"/>
    <w:tmpl w:val="32C88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F5B99"/>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AB81131"/>
    <w:multiLevelType w:val="hybridMultilevel"/>
    <w:tmpl w:val="4D50695A"/>
    <w:lvl w:ilvl="0" w:tplc="5B4A7FD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9809F0"/>
    <w:multiLevelType w:val="hybridMultilevel"/>
    <w:tmpl w:val="D8582CA4"/>
    <w:lvl w:ilvl="0" w:tplc="4E0CB088">
      <w:start w:val="8"/>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FA33F39"/>
    <w:multiLevelType w:val="hybridMultilevel"/>
    <w:tmpl w:val="DB04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04C6C"/>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1E25B0A"/>
    <w:multiLevelType w:val="hybridMultilevel"/>
    <w:tmpl w:val="FFB6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24A08E8"/>
    <w:multiLevelType w:val="hybridMultilevel"/>
    <w:tmpl w:val="9DE6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1A26A6"/>
    <w:multiLevelType w:val="hybridMultilevel"/>
    <w:tmpl w:val="4A6E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6A0738"/>
    <w:multiLevelType w:val="hybridMultilevel"/>
    <w:tmpl w:val="13945666"/>
    <w:lvl w:ilvl="0" w:tplc="404C0182">
      <w:start w:val="1"/>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D22304"/>
    <w:multiLevelType w:val="hybridMultilevel"/>
    <w:tmpl w:val="0D888C8C"/>
    <w:lvl w:ilvl="0" w:tplc="404C0182">
      <w:start w:val="1"/>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AD2661"/>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7AE3E6C"/>
    <w:multiLevelType w:val="hybridMultilevel"/>
    <w:tmpl w:val="F650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CD0EC1"/>
    <w:multiLevelType w:val="hybridMultilevel"/>
    <w:tmpl w:val="B1106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F985E00"/>
    <w:multiLevelType w:val="hybridMultilevel"/>
    <w:tmpl w:val="DFD235F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FA67651"/>
    <w:multiLevelType w:val="hybridMultilevel"/>
    <w:tmpl w:val="2D160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23B104F"/>
    <w:multiLevelType w:val="hybridMultilevel"/>
    <w:tmpl w:val="5A366444"/>
    <w:lvl w:ilvl="0" w:tplc="404C0182">
      <w:start w:val="1"/>
      <w:numFmt w:val="bullet"/>
      <w:lvlText w:val="-"/>
      <w:lvlJc w:val="left"/>
      <w:pPr>
        <w:ind w:left="360" w:hanging="360"/>
      </w:pPr>
      <w:rPr>
        <w:rFonts w:ascii="Century Schoolbook" w:eastAsiaTheme="minorHAnsi" w:hAnsi="Century Schoolbook"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5297977"/>
    <w:multiLevelType w:val="hybridMultilevel"/>
    <w:tmpl w:val="821E5A02"/>
    <w:lvl w:ilvl="0" w:tplc="404C0182">
      <w:start w:val="1"/>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C011EB"/>
    <w:multiLevelType w:val="hybridMultilevel"/>
    <w:tmpl w:val="245C3DE4"/>
    <w:lvl w:ilvl="0" w:tplc="C22A4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336469"/>
    <w:multiLevelType w:val="hybridMultilevel"/>
    <w:tmpl w:val="C0A4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877B27"/>
    <w:multiLevelType w:val="hybridMultilevel"/>
    <w:tmpl w:val="9AECE52A"/>
    <w:lvl w:ilvl="0" w:tplc="FFFFFFFF">
      <w:start w:val="1"/>
      <w:numFmt w:val="decimal"/>
      <w:pStyle w:val="NumberedParas"/>
      <w:lvlText w:val="%1."/>
      <w:lvlJc w:val="left"/>
      <w:pPr>
        <w:ind w:left="5606" w:hanging="360"/>
      </w:pPr>
      <w:rPr>
        <w:rFonts w:ascii="Times New Roman" w:hAnsi="Times New Roman" w:cs="Times New Roman"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nsid w:val="46EB78CB"/>
    <w:multiLevelType w:val="hybridMultilevel"/>
    <w:tmpl w:val="1728D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0C578F"/>
    <w:multiLevelType w:val="hybridMultilevel"/>
    <w:tmpl w:val="5958EB72"/>
    <w:lvl w:ilvl="0" w:tplc="0409000F">
      <w:start w:val="1"/>
      <w:numFmt w:val="decimal"/>
      <w:lvlText w:val="%1."/>
      <w:lvlJc w:val="left"/>
      <w:pPr>
        <w:ind w:left="360" w:hanging="360"/>
      </w:pPr>
      <w:rPr>
        <w:rFonts w:hint="default"/>
        <w:b w:val="0"/>
        <w:sz w:val="20"/>
        <w:szCs w:val="2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7716AB6"/>
    <w:multiLevelType w:val="hybridMultilevel"/>
    <w:tmpl w:val="4A4CCD44"/>
    <w:lvl w:ilvl="0" w:tplc="383818C2">
      <w:start w:val="1"/>
      <w:numFmt w:val="bullet"/>
      <w:lvlText w:val=""/>
      <w:lvlJc w:val="left"/>
      <w:pPr>
        <w:tabs>
          <w:tab w:val="num" w:pos="360"/>
        </w:tabs>
        <w:ind w:left="360" w:hanging="360"/>
      </w:pPr>
      <w:rPr>
        <w:rFonts w:ascii="Wingdings" w:hAnsi="Wingdings" w:cs="Wingdings" w:hint="default"/>
      </w:rPr>
    </w:lvl>
    <w:lvl w:ilvl="1" w:tplc="27AEC6F2">
      <w:start w:val="1"/>
      <w:numFmt w:val="bullet"/>
      <w:lvlText w:val="o"/>
      <w:lvlJc w:val="left"/>
      <w:pPr>
        <w:tabs>
          <w:tab w:val="num" w:pos="1080"/>
        </w:tabs>
        <w:ind w:left="1080" w:hanging="360"/>
      </w:pPr>
      <w:rPr>
        <w:rFonts w:ascii="Courier New" w:hAnsi="Courier New" w:cs="Wingdings" w:hint="default"/>
      </w:rPr>
    </w:lvl>
    <w:lvl w:ilvl="2" w:tplc="ACDAD706">
      <w:start w:val="1"/>
      <w:numFmt w:val="bullet"/>
      <w:lvlText w:val=""/>
      <w:lvlJc w:val="left"/>
      <w:pPr>
        <w:tabs>
          <w:tab w:val="num" w:pos="1800"/>
        </w:tabs>
        <w:ind w:left="1800" w:hanging="360"/>
      </w:pPr>
      <w:rPr>
        <w:rFonts w:ascii="Wingdings" w:hAnsi="Wingdings" w:cs="Wingdings" w:hint="default"/>
      </w:rPr>
    </w:lvl>
    <w:lvl w:ilvl="3" w:tplc="B44EA5E8">
      <w:start w:val="1"/>
      <w:numFmt w:val="bullet"/>
      <w:lvlText w:val=""/>
      <w:lvlJc w:val="left"/>
      <w:pPr>
        <w:tabs>
          <w:tab w:val="num" w:pos="2520"/>
        </w:tabs>
        <w:ind w:left="2520" w:hanging="360"/>
      </w:pPr>
      <w:rPr>
        <w:rFonts w:ascii="Symbol" w:hAnsi="Symbol" w:cs="Wingdings" w:hint="default"/>
      </w:rPr>
    </w:lvl>
    <w:lvl w:ilvl="4" w:tplc="2146BFAA">
      <w:start w:val="1"/>
      <w:numFmt w:val="bullet"/>
      <w:lvlText w:val="o"/>
      <w:lvlJc w:val="left"/>
      <w:pPr>
        <w:tabs>
          <w:tab w:val="num" w:pos="3240"/>
        </w:tabs>
        <w:ind w:left="3240" w:hanging="360"/>
      </w:pPr>
      <w:rPr>
        <w:rFonts w:ascii="Courier New" w:hAnsi="Courier New" w:cs="Wingdings" w:hint="default"/>
      </w:rPr>
    </w:lvl>
    <w:lvl w:ilvl="5" w:tplc="97B44D5A">
      <w:start w:val="1"/>
      <w:numFmt w:val="bullet"/>
      <w:lvlText w:val=""/>
      <w:lvlJc w:val="left"/>
      <w:pPr>
        <w:tabs>
          <w:tab w:val="num" w:pos="3960"/>
        </w:tabs>
        <w:ind w:left="3960" w:hanging="360"/>
      </w:pPr>
      <w:rPr>
        <w:rFonts w:ascii="Wingdings" w:hAnsi="Wingdings" w:cs="Wingdings" w:hint="default"/>
      </w:rPr>
    </w:lvl>
    <w:lvl w:ilvl="6" w:tplc="CB34137E">
      <w:start w:val="1"/>
      <w:numFmt w:val="bullet"/>
      <w:lvlText w:val=""/>
      <w:lvlJc w:val="left"/>
      <w:pPr>
        <w:tabs>
          <w:tab w:val="num" w:pos="4680"/>
        </w:tabs>
        <w:ind w:left="4680" w:hanging="360"/>
      </w:pPr>
      <w:rPr>
        <w:rFonts w:ascii="Symbol" w:hAnsi="Symbol" w:cs="Wingdings" w:hint="default"/>
      </w:rPr>
    </w:lvl>
    <w:lvl w:ilvl="7" w:tplc="072EF19A">
      <w:start w:val="1"/>
      <w:numFmt w:val="bullet"/>
      <w:lvlText w:val="o"/>
      <w:lvlJc w:val="left"/>
      <w:pPr>
        <w:tabs>
          <w:tab w:val="num" w:pos="5400"/>
        </w:tabs>
        <w:ind w:left="5400" w:hanging="360"/>
      </w:pPr>
      <w:rPr>
        <w:rFonts w:ascii="Courier New" w:hAnsi="Courier New" w:cs="Wingdings" w:hint="default"/>
      </w:rPr>
    </w:lvl>
    <w:lvl w:ilvl="8" w:tplc="611E5B94">
      <w:start w:val="1"/>
      <w:numFmt w:val="bullet"/>
      <w:lvlText w:val=""/>
      <w:lvlJc w:val="left"/>
      <w:pPr>
        <w:tabs>
          <w:tab w:val="num" w:pos="6120"/>
        </w:tabs>
        <w:ind w:left="6120" w:hanging="360"/>
      </w:pPr>
      <w:rPr>
        <w:rFonts w:ascii="Wingdings" w:hAnsi="Wingdings" w:cs="Wingdings" w:hint="default"/>
      </w:rPr>
    </w:lvl>
  </w:abstractNum>
  <w:abstractNum w:abstractNumId="44">
    <w:nsid w:val="4A9A4119"/>
    <w:multiLevelType w:val="hybridMultilevel"/>
    <w:tmpl w:val="500AECA0"/>
    <w:lvl w:ilvl="0" w:tplc="07D02D7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DF4095"/>
    <w:multiLevelType w:val="hybridMultilevel"/>
    <w:tmpl w:val="4FBAF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D435561"/>
    <w:multiLevelType w:val="hybridMultilevel"/>
    <w:tmpl w:val="70CA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DA753E6"/>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9012B3"/>
    <w:multiLevelType w:val="hybridMultilevel"/>
    <w:tmpl w:val="0B0E77BE"/>
    <w:lvl w:ilvl="0" w:tplc="04090003">
      <w:start w:val="1"/>
      <w:numFmt w:val="bullet"/>
      <w:lvlText w:val="o"/>
      <w:lvlJc w:val="left"/>
      <w:pPr>
        <w:ind w:left="522" w:hanging="360"/>
      </w:pPr>
      <w:rPr>
        <w:rFonts w:ascii="Courier New" w:hAnsi="Courier New" w:cs="Courier New" w:hint="default"/>
      </w:rPr>
    </w:lvl>
    <w:lvl w:ilvl="1" w:tplc="04090003" w:tentative="1">
      <w:start w:val="1"/>
      <w:numFmt w:val="bullet"/>
      <w:lvlText w:val="o"/>
      <w:lvlJc w:val="left"/>
      <w:pPr>
        <w:ind w:left="1242" w:hanging="360"/>
      </w:pPr>
      <w:rPr>
        <w:rFonts w:ascii="Courier New" w:hAnsi="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49">
    <w:nsid w:val="503F3DA4"/>
    <w:multiLevelType w:val="hybridMultilevel"/>
    <w:tmpl w:val="1728D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3D54FD"/>
    <w:multiLevelType w:val="hybridMultilevel"/>
    <w:tmpl w:val="8DAA4BC0"/>
    <w:lvl w:ilvl="0" w:tplc="04090017">
      <w:start w:val="1"/>
      <w:numFmt w:val="lowerLetter"/>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nsid w:val="53D14D3A"/>
    <w:multiLevelType w:val="hybridMultilevel"/>
    <w:tmpl w:val="FC224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47D0B4C"/>
    <w:multiLevelType w:val="hybridMultilevel"/>
    <w:tmpl w:val="4AF05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4EC2305"/>
    <w:multiLevelType w:val="hybridMultilevel"/>
    <w:tmpl w:val="44BA1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7745056"/>
    <w:multiLevelType w:val="hybridMultilevel"/>
    <w:tmpl w:val="F5C4E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E82147"/>
    <w:multiLevelType w:val="hybridMultilevel"/>
    <w:tmpl w:val="D04C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BB61CBD"/>
    <w:multiLevelType w:val="hybridMultilevel"/>
    <w:tmpl w:val="73FE6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D4B5355"/>
    <w:multiLevelType w:val="hybridMultilevel"/>
    <w:tmpl w:val="CBD8B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F00914"/>
    <w:multiLevelType w:val="hybridMultilevel"/>
    <w:tmpl w:val="99086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4794978"/>
    <w:multiLevelType w:val="hybridMultilevel"/>
    <w:tmpl w:val="90CC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9907C3"/>
    <w:multiLevelType w:val="hybridMultilevel"/>
    <w:tmpl w:val="F7726E2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5194D84"/>
    <w:multiLevelType w:val="hybridMultilevel"/>
    <w:tmpl w:val="F7726E2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65E78E2"/>
    <w:multiLevelType w:val="hybridMultilevel"/>
    <w:tmpl w:val="906A97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A51679"/>
    <w:multiLevelType w:val="hybridMultilevel"/>
    <w:tmpl w:val="A20A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820433"/>
    <w:multiLevelType w:val="hybridMultilevel"/>
    <w:tmpl w:val="76DC3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9AF2113"/>
    <w:multiLevelType w:val="hybridMultilevel"/>
    <w:tmpl w:val="A686F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A104356"/>
    <w:multiLevelType w:val="hybridMultilevel"/>
    <w:tmpl w:val="8EAE0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A1F7D30"/>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AA634FD"/>
    <w:multiLevelType w:val="hybridMultilevel"/>
    <w:tmpl w:val="007606C6"/>
    <w:lvl w:ilvl="0" w:tplc="8650378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6B6C6408"/>
    <w:multiLevelType w:val="hybridMultilevel"/>
    <w:tmpl w:val="845092E6"/>
    <w:lvl w:ilvl="0" w:tplc="7FF45BD6">
      <w:start w:val="1"/>
      <w:numFmt w:val="lowerLetter"/>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C891B27"/>
    <w:multiLevelType w:val="hybridMultilevel"/>
    <w:tmpl w:val="96EA3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nsid w:val="6F875FAB"/>
    <w:multiLevelType w:val="hybridMultilevel"/>
    <w:tmpl w:val="C1B6DFF4"/>
    <w:lvl w:ilvl="0" w:tplc="93664F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14649A6"/>
    <w:multiLevelType w:val="hybridMultilevel"/>
    <w:tmpl w:val="F9F49E20"/>
    <w:lvl w:ilvl="0" w:tplc="865037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5713ED6"/>
    <w:multiLevelType w:val="hybridMultilevel"/>
    <w:tmpl w:val="7BE8F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F75661"/>
    <w:multiLevelType w:val="hybridMultilevel"/>
    <w:tmpl w:val="A8D44BCE"/>
    <w:lvl w:ilvl="0" w:tplc="180A0001">
      <w:start w:val="1"/>
      <w:numFmt w:val="bullet"/>
      <w:lvlText w:val=""/>
      <w:lvlJc w:val="left"/>
      <w:pPr>
        <w:ind w:left="360" w:hanging="360"/>
      </w:pPr>
      <w:rPr>
        <w:rFonts w:ascii="Symbol" w:hAnsi="Symbol"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75">
    <w:nsid w:val="77716AB4"/>
    <w:multiLevelType w:val="hybridMultilevel"/>
    <w:tmpl w:val="BAD406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77CB729D"/>
    <w:multiLevelType w:val="hybridMultilevel"/>
    <w:tmpl w:val="A44C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EF548F"/>
    <w:multiLevelType w:val="hybridMultilevel"/>
    <w:tmpl w:val="F7726E2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ECD62D0"/>
    <w:multiLevelType w:val="hybridMultilevel"/>
    <w:tmpl w:val="3F66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F163383"/>
    <w:multiLevelType w:val="hybridMultilevel"/>
    <w:tmpl w:val="D7B2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2"/>
  </w:num>
  <w:num w:numId="3">
    <w:abstractNumId w:val="8"/>
  </w:num>
  <w:num w:numId="4">
    <w:abstractNumId w:val="73"/>
  </w:num>
  <w:num w:numId="5">
    <w:abstractNumId w:val="13"/>
  </w:num>
  <w:num w:numId="6">
    <w:abstractNumId w:val="76"/>
  </w:num>
  <w:num w:numId="7">
    <w:abstractNumId w:val="39"/>
  </w:num>
  <w:num w:numId="8">
    <w:abstractNumId w:val="0"/>
  </w:num>
  <w:num w:numId="9">
    <w:abstractNumId w:val="38"/>
  </w:num>
  <w:num w:numId="10">
    <w:abstractNumId w:val="65"/>
  </w:num>
  <w:num w:numId="11">
    <w:abstractNumId w:val="51"/>
  </w:num>
  <w:num w:numId="12">
    <w:abstractNumId w:val="10"/>
  </w:num>
  <w:num w:numId="13">
    <w:abstractNumId w:val="66"/>
  </w:num>
  <w:num w:numId="14">
    <w:abstractNumId w:val="45"/>
  </w:num>
  <w:num w:numId="15">
    <w:abstractNumId w:val="78"/>
  </w:num>
  <w:num w:numId="16">
    <w:abstractNumId w:val="35"/>
  </w:num>
  <w:num w:numId="17">
    <w:abstractNumId w:val="56"/>
  </w:num>
  <w:num w:numId="18">
    <w:abstractNumId w:val="18"/>
  </w:num>
  <w:num w:numId="19">
    <w:abstractNumId w:val="3"/>
  </w:num>
  <w:num w:numId="20">
    <w:abstractNumId w:val="46"/>
  </w:num>
  <w:num w:numId="21">
    <w:abstractNumId w:val="28"/>
  </w:num>
  <w:num w:numId="22">
    <w:abstractNumId w:val="58"/>
  </w:num>
  <w:num w:numId="23">
    <w:abstractNumId w:val="33"/>
  </w:num>
  <w:num w:numId="24">
    <w:abstractNumId w:val="26"/>
  </w:num>
  <w:num w:numId="25">
    <w:abstractNumId w:val="7"/>
  </w:num>
  <w:num w:numId="26">
    <w:abstractNumId w:val="52"/>
  </w:num>
  <w:num w:numId="27">
    <w:abstractNumId w:val="42"/>
  </w:num>
  <w:num w:numId="28">
    <w:abstractNumId w:val="60"/>
  </w:num>
  <w:num w:numId="29">
    <w:abstractNumId w:val="22"/>
  </w:num>
  <w:num w:numId="30">
    <w:abstractNumId w:val="44"/>
  </w:num>
  <w:num w:numId="31">
    <w:abstractNumId w:val="16"/>
  </w:num>
  <w:num w:numId="32">
    <w:abstractNumId w:val="23"/>
  </w:num>
  <w:num w:numId="33">
    <w:abstractNumId w:val="77"/>
  </w:num>
  <w:num w:numId="34">
    <w:abstractNumId w:val="61"/>
  </w:num>
  <w:num w:numId="35">
    <w:abstractNumId w:val="12"/>
  </w:num>
  <w:num w:numId="36">
    <w:abstractNumId w:val="69"/>
  </w:num>
  <w:num w:numId="37">
    <w:abstractNumId w:val="31"/>
  </w:num>
  <w:num w:numId="38">
    <w:abstractNumId w:val="47"/>
  </w:num>
  <w:num w:numId="39">
    <w:abstractNumId w:val="25"/>
  </w:num>
  <w:num w:numId="40">
    <w:abstractNumId w:val="67"/>
  </w:num>
  <w:num w:numId="41">
    <w:abstractNumId w:val="21"/>
  </w:num>
  <w:num w:numId="42">
    <w:abstractNumId w:val="57"/>
  </w:num>
  <w:num w:numId="43">
    <w:abstractNumId w:val="15"/>
  </w:num>
  <w:num w:numId="44">
    <w:abstractNumId w:val="11"/>
  </w:num>
  <w:num w:numId="45">
    <w:abstractNumId w:val="53"/>
  </w:num>
  <w:num w:numId="46">
    <w:abstractNumId w:val="34"/>
  </w:num>
  <w:num w:numId="47">
    <w:abstractNumId w:val="71"/>
  </w:num>
  <w:num w:numId="48">
    <w:abstractNumId w:val="79"/>
  </w:num>
  <w:num w:numId="49">
    <w:abstractNumId w:val="64"/>
  </w:num>
  <w:num w:numId="50">
    <w:abstractNumId w:val="75"/>
  </w:num>
  <w:num w:numId="51">
    <w:abstractNumId w:val="36"/>
  </w:num>
  <w:num w:numId="52">
    <w:abstractNumId w:val="49"/>
  </w:num>
  <w:num w:numId="53">
    <w:abstractNumId w:val="68"/>
  </w:num>
  <w:num w:numId="54">
    <w:abstractNumId w:val="2"/>
  </w:num>
  <w:num w:numId="55">
    <w:abstractNumId w:val="62"/>
  </w:num>
  <w:num w:numId="56">
    <w:abstractNumId w:val="1"/>
  </w:num>
  <w:num w:numId="57">
    <w:abstractNumId w:val="24"/>
  </w:num>
  <w:num w:numId="58">
    <w:abstractNumId w:val="55"/>
  </w:num>
  <w:num w:numId="59">
    <w:abstractNumId w:val="14"/>
  </w:num>
  <w:num w:numId="60">
    <w:abstractNumId w:val="5"/>
  </w:num>
  <w:num w:numId="61">
    <w:abstractNumId w:val="27"/>
  </w:num>
  <w:num w:numId="62">
    <w:abstractNumId w:val="63"/>
  </w:num>
  <w:num w:numId="63">
    <w:abstractNumId w:val="48"/>
  </w:num>
  <w:num w:numId="64">
    <w:abstractNumId w:val="74"/>
  </w:num>
  <w:num w:numId="65">
    <w:abstractNumId w:val="20"/>
  </w:num>
  <w:num w:numId="66">
    <w:abstractNumId w:val="9"/>
  </w:num>
  <w:num w:numId="67">
    <w:abstractNumId w:val="41"/>
  </w:num>
  <w:num w:numId="68">
    <w:abstractNumId w:val="50"/>
  </w:num>
  <w:num w:numId="69">
    <w:abstractNumId w:val="43"/>
  </w:num>
  <w:num w:numId="70">
    <w:abstractNumId w:val="6"/>
  </w:num>
  <w:num w:numId="71">
    <w:abstractNumId w:val="19"/>
  </w:num>
  <w:num w:numId="72">
    <w:abstractNumId w:val="30"/>
  </w:num>
  <w:num w:numId="73">
    <w:abstractNumId w:val="37"/>
  </w:num>
  <w:num w:numId="74">
    <w:abstractNumId w:val="29"/>
  </w:num>
  <w:num w:numId="75">
    <w:abstractNumId w:val="54"/>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num>
  <w:num w:numId="79">
    <w:abstractNumId w:val="59"/>
  </w:num>
  <w:num w:numId="80">
    <w:abstractNumId w:val="32"/>
  </w:num>
  <w:num w:numId="81">
    <w:abstractNumId w:val="70"/>
  </w:num>
  <w:num w:numId="82">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632"/>
    <w:rsid w:val="00001914"/>
    <w:rsid w:val="0000234D"/>
    <w:rsid w:val="00003844"/>
    <w:rsid w:val="00005220"/>
    <w:rsid w:val="00023F3C"/>
    <w:rsid w:val="00025771"/>
    <w:rsid w:val="00034C55"/>
    <w:rsid w:val="00042EF1"/>
    <w:rsid w:val="000557C9"/>
    <w:rsid w:val="0006364D"/>
    <w:rsid w:val="000664C3"/>
    <w:rsid w:val="000677C2"/>
    <w:rsid w:val="00070B7C"/>
    <w:rsid w:val="000711AB"/>
    <w:rsid w:val="00074855"/>
    <w:rsid w:val="000962B1"/>
    <w:rsid w:val="000967A4"/>
    <w:rsid w:val="000A1BAC"/>
    <w:rsid w:val="000C4C3A"/>
    <w:rsid w:val="000C51EF"/>
    <w:rsid w:val="000D1D43"/>
    <w:rsid w:val="000E7279"/>
    <w:rsid w:val="000F0B53"/>
    <w:rsid w:val="000F3D2E"/>
    <w:rsid w:val="00101B11"/>
    <w:rsid w:val="00104085"/>
    <w:rsid w:val="001044D8"/>
    <w:rsid w:val="001048F3"/>
    <w:rsid w:val="00114D55"/>
    <w:rsid w:val="0011502D"/>
    <w:rsid w:val="00115115"/>
    <w:rsid w:val="00122A0D"/>
    <w:rsid w:val="001260FF"/>
    <w:rsid w:val="0013307F"/>
    <w:rsid w:val="00133632"/>
    <w:rsid w:val="00135FFC"/>
    <w:rsid w:val="00137A8B"/>
    <w:rsid w:val="0014109E"/>
    <w:rsid w:val="00142B90"/>
    <w:rsid w:val="00144644"/>
    <w:rsid w:val="0014528F"/>
    <w:rsid w:val="00150D3C"/>
    <w:rsid w:val="00151A9F"/>
    <w:rsid w:val="001571FA"/>
    <w:rsid w:val="00157389"/>
    <w:rsid w:val="00165823"/>
    <w:rsid w:val="001663A6"/>
    <w:rsid w:val="001677C1"/>
    <w:rsid w:val="001703CC"/>
    <w:rsid w:val="00180208"/>
    <w:rsid w:val="00191697"/>
    <w:rsid w:val="001A41AC"/>
    <w:rsid w:val="001A42EF"/>
    <w:rsid w:val="001C4D47"/>
    <w:rsid w:val="001D3921"/>
    <w:rsid w:val="001D58E4"/>
    <w:rsid w:val="001E7276"/>
    <w:rsid w:val="001F246A"/>
    <w:rsid w:val="00204336"/>
    <w:rsid w:val="002045A5"/>
    <w:rsid w:val="00205221"/>
    <w:rsid w:val="00213839"/>
    <w:rsid w:val="00226182"/>
    <w:rsid w:val="00243545"/>
    <w:rsid w:val="00245B3A"/>
    <w:rsid w:val="002518B4"/>
    <w:rsid w:val="00253D13"/>
    <w:rsid w:val="00255367"/>
    <w:rsid w:val="00266704"/>
    <w:rsid w:val="0027787B"/>
    <w:rsid w:val="002921A5"/>
    <w:rsid w:val="0029232C"/>
    <w:rsid w:val="00297B50"/>
    <w:rsid w:val="00297BAD"/>
    <w:rsid w:val="002A00B4"/>
    <w:rsid w:val="002A21F2"/>
    <w:rsid w:val="002A2AF0"/>
    <w:rsid w:val="002A59BC"/>
    <w:rsid w:val="002A7250"/>
    <w:rsid w:val="002D23A0"/>
    <w:rsid w:val="002D450A"/>
    <w:rsid w:val="002E12F6"/>
    <w:rsid w:val="002E3914"/>
    <w:rsid w:val="002F153C"/>
    <w:rsid w:val="002F2C81"/>
    <w:rsid w:val="00300C5F"/>
    <w:rsid w:val="003039E6"/>
    <w:rsid w:val="00310410"/>
    <w:rsid w:val="003118BA"/>
    <w:rsid w:val="003161D9"/>
    <w:rsid w:val="00317390"/>
    <w:rsid w:val="0032751C"/>
    <w:rsid w:val="00327946"/>
    <w:rsid w:val="00332541"/>
    <w:rsid w:val="003377A5"/>
    <w:rsid w:val="003546E4"/>
    <w:rsid w:val="003625B2"/>
    <w:rsid w:val="00365CCD"/>
    <w:rsid w:val="00370D71"/>
    <w:rsid w:val="0037336C"/>
    <w:rsid w:val="00376D2A"/>
    <w:rsid w:val="003811AE"/>
    <w:rsid w:val="00383510"/>
    <w:rsid w:val="00384183"/>
    <w:rsid w:val="00387BB2"/>
    <w:rsid w:val="00392BA8"/>
    <w:rsid w:val="00394C8E"/>
    <w:rsid w:val="003A12D3"/>
    <w:rsid w:val="003B23A1"/>
    <w:rsid w:val="003D0F96"/>
    <w:rsid w:val="003D219A"/>
    <w:rsid w:val="003D50E3"/>
    <w:rsid w:val="004031B2"/>
    <w:rsid w:val="00407AAD"/>
    <w:rsid w:val="00412013"/>
    <w:rsid w:val="00412A94"/>
    <w:rsid w:val="0042567A"/>
    <w:rsid w:val="004316D5"/>
    <w:rsid w:val="00436A96"/>
    <w:rsid w:val="0044507A"/>
    <w:rsid w:val="00452D6E"/>
    <w:rsid w:val="00466CED"/>
    <w:rsid w:val="004703D9"/>
    <w:rsid w:val="00470CE4"/>
    <w:rsid w:val="00471C02"/>
    <w:rsid w:val="00475530"/>
    <w:rsid w:val="00482454"/>
    <w:rsid w:val="00491573"/>
    <w:rsid w:val="004915C4"/>
    <w:rsid w:val="00495073"/>
    <w:rsid w:val="004A3931"/>
    <w:rsid w:val="004A3AFC"/>
    <w:rsid w:val="004A3EE8"/>
    <w:rsid w:val="004A3F4F"/>
    <w:rsid w:val="004B0B2C"/>
    <w:rsid w:val="004C2178"/>
    <w:rsid w:val="004C51E3"/>
    <w:rsid w:val="004D2FDA"/>
    <w:rsid w:val="004F126E"/>
    <w:rsid w:val="004F25AF"/>
    <w:rsid w:val="004F7E1F"/>
    <w:rsid w:val="00505D6E"/>
    <w:rsid w:val="00510712"/>
    <w:rsid w:val="00514D52"/>
    <w:rsid w:val="00521548"/>
    <w:rsid w:val="00522A74"/>
    <w:rsid w:val="00526856"/>
    <w:rsid w:val="00541D16"/>
    <w:rsid w:val="0056766E"/>
    <w:rsid w:val="0057151B"/>
    <w:rsid w:val="00573C01"/>
    <w:rsid w:val="0057540F"/>
    <w:rsid w:val="005774E3"/>
    <w:rsid w:val="005A4D67"/>
    <w:rsid w:val="005B0BC2"/>
    <w:rsid w:val="005B2C35"/>
    <w:rsid w:val="005C1B59"/>
    <w:rsid w:val="005C1C5F"/>
    <w:rsid w:val="005C632D"/>
    <w:rsid w:val="005D2CF4"/>
    <w:rsid w:val="005E008F"/>
    <w:rsid w:val="005E4D7F"/>
    <w:rsid w:val="005E5C64"/>
    <w:rsid w:val="00602929"/>
    <w:rsid w:val="00607F79"/>
    <w:rsid w:val="00610C22"/>
    <w:rsid w:val="00617E80"/>
    <w:rsid w:val="00631D29"/>
    <w:rsid w:val="00635199"/>
    <w:rsid w:val="00647A73"/>
    <w:rsid w:val="00656FE3"/>
    <w:rsid w:val="00663ABC"/>
    <w:rsid w:val="00670F93"/>
    <w:rsid w:val="0067372C"/>
    <w:rsid w:val="00683A8C"/>
    <w:rsid w:val="00685F50"/>
    <w:rsid w:val="00695503"/>
    <w:rsid w:val="006C0B28"/>
    <w:rsid w:val="006C24E2"/>
    <w:rsid w:val="006D1BDE"/>
    <w:rsid w:val="006D2A0D"/>
    <w:rsid w:val="006D7FB2"/>
    <w:rsid w:val="006E07EC"/>
    <w:rsid w:val="006E6DAE"/>
    <w:rsid w:val="006F1D0A"/>
    <w:rsid w:val="006F24E2"/>
    <w:rsid w:val="00712737"/>
    <w:rsid w:val="00725495"/>
    <w:rsid w:val="00732997"/>
    <w:rsid w:val="00732DFD"/>
    <w:rsid w:val="0073431E"/>
    <w:rsid w:val="00746FF7"/>
    <w:rsid w:val="00760076"/>
    <w:rsid w:val="007604A9"/>
    <w:rsid w:val="007816C2"/>
    <w:rsid w:val="00783402"/>
    <w:rsid w:val="00785CE6"/>
    <w:rsid w:val="007919A9"/>
    <w:rsid w:val="00796F90"/>
    <w:rsid w:val="007A2967"/>
    <w:rsid w:val="007A3F63"/>
    <w:rsid w:val="007B04A6"/>
    <w:rsid w:val="007B6469"/>
    <w:rsid w:val="007C359E"/>
    <w:rsid w:val="007C386D"/>
    <w:rsid w:val="007D5063"/>
    <w:rsid w:val="007D7423"/>
    <w:rsid w:val="007E1799"/>
    <w:rsid w:val="007E2758"/>
    <w:rsid w:val="007E69CB"/>
    <w:rsid w:val="007E7C78"/>
    <w:rsid w:val="00803D66"/>
    <w:rsid w:val="00815D0B"/>
    <w:rsid w:val="008175A1"/>
    <w:rsid w:val="00831F01"/>
    <w:rsid w:val="008374A7"/>
    <w:rsid w:val="00840749"/>
    <w:rsid w:val="00847196"/>
    <w:rsid w:val="00853873"/>
    <w:rsid w:val="0085438A"/>
    <w:rsid w:val="00854957"/>
    <w:rsid w:val="00870DA8"/>
    <w:rsid w:val="0087107B"/>
    <w:rsid w:val="008766D8"/>
    <w:rsid w:val="00877212"/>
    <w:rsid w:val="00877CB6"/>
    <w:rsid w:val="0088527F"/>
    <w:rsid w:val="008A53FE"/>
    <w:rsid w:val="008B0413"/>
    <w:rsid w:val="008B0ADD"/>
    <w:rsid w:val="008B3E88"/>
    <w:rsid w:val="008B6681"/>
    <w:rsid w:val="008C4EB0"/>
    <w:rsid w:val="008C70E9"/>
    <w:rsid w:val="008D0CD4"/>
    <w:rsid w:val="008E1346"/>
    <w:rsid w:val="008E5A15"/>
    <w:rsid w:val="00904B28"/>
    <w:rsid w:val="00921D52"/>
    <w:rsid w:val="009252F4"/>
    <w:rsid w:val="00926A55"/>
    <w:rsid w:val="00930268"/>
    <w:rsid w:val="00937F07"/>
    <w:rsid w:val="00941056"/>
    <w:rsid w:val="00946A10"/>
    <w:rsid w:val="00951052"/>
    <w:rsid w:val="00952305"/>
    <w:rsid w:val="00952862"/>
    <w:rsid w:val="00953044"/>
    <w:rsid w:val="00956797"/>
    <w:rsid w:val="009616F7"/>
    <w:rsid w:val="0096609D"/>
    <w:rsid w:val="00972C49"/>
    <w:rsid w:val="009746EB"/>
    <w:rsid w:val="00975A9A"/>
    <w:rsid w:val="00982B00"/>
    <w:rsid w:val="0099275A"/>
    <w:rsid w:val="009A165B"/>
    <w:rsid w:val="009A17B4"/>
    <w:rsid w:val="009A3481"/>
    <w:rsid w:val="009A43E5"/>
    <w:rsid w:val="009C2E99"/>
    <w:rsid w:val="009C3E04"/>
    <w:rsid w:val="009C67A9"/>
    <w:rsid w:val="009C7844"/>
    <w:rsid w:val="009D0D56"/>
    <w:rsid w:val="009D6A30"/>
    <w:rsid w:val="009E2A7A"/>
    <w:rsid w:val="009E6A7D"/>
    <w:rsid w:val="009E6BB4"/>
    <w:rsid w:val="009F2088"/>
    <w:rsid w:val="009F23CE"/>
    <w:rsid w:val="009F55E6"/>
    <w:rsid w:val="009F7F82"/>
    <w:rsid w:val="00A177B3"/>
    <w:rsid w:val="00A24EEB"/>
    <w:rsid w:val="00A25185"/>
    <w:rsid w:val="00A4529B"/>
    <w:rsid w:val="00A47825"/>
    <w:rsid w:val="00A47E7E"/>
    <w:rsid w:val="00A53745"/>
    <w:rsid w:val="00A70991"/>
    <w:rsid w:val="00A775E3"/>
    <w:rsid w:val="00A85122"/>
    <w:rsid w:val="00A910AB"/>
    <w:rsid w:val="00A9248D"/>
    <w:rsid w:val="00A924AC"/>
    <w:rsid w:val="00A92DE4"/>
    <w:rsid w:val="00A97EE7"/>
    <w:rsid w:val="00AA4744"/>
    <w:rsid w:val="00AA76EE"/>
    <w:rsid w:val="00AB78FA"/>
    <w:rsid w:val="00AC3052"/>
    <w:rsid w:val="00AC5BFE"/>
    <w:rsid w:val="00AD045E"/>
    <w:rsid w:val="00AD2B16"/>
    <w:rsid w:val="00AD766C"/>
    <w:rsid w:val="00AE386F"/>
    <w:rsid w:val="00B02EEA"/>
    <w:rsid w:val="00B075C1"/>
    <w:rsid w:val="00B07DDD"/>
    <w:rsid w:val="00B11FC2"/>
    <w:rsid w:val="00B13085"/>
    <w:rsid w:val="00B224C0"/>
    <w:rsid w:val="00B241EF"/>
    <w:rsid w:val="00B34716"/>
    <w:rsid w:val="00B35EA9"/>
    <w:rsid w:val="00B37224"/>
    <w:rsid w:val="00B620DF"/>
    <w:rsid w:val="00B65692"/>
    <w:rsid w:val="00B73353"/>
    <w:rsid w:val="00B7643B"/>
    <w:rsid w:val="00B81504"/>
    <w:rsid w:val="00B819E7"/>
    <w:rsid w:val="00B857C7"/>
    <w:rsid w:val="00B9018B"/>
    <w:rsid w:val="00B94ED1"/>
    <w:rsid w:val="00BB125E"/>
    <w:rsid w:val="00BB235F"/>
    <w:rsid w:val="00BC51AC"/>
    <w:rsid w:val="00BD13D4"/>
    <w:rsid w:val="00BE51F8"/>
    <w:rsid w:val="00BF1099"/>
    <w:rsid w:val="00BF1F4B"/>
    <w:rsid w:val="00BF63FB"/>
    <w:rsid w:val="00C0393D"/>
    <w:rsid w:val="00C158A7"/>
    <w:rsid w:val="00C16D4B"/>
    <w:rsid w:val="00C319AA"/>
    <w:rsid w:val="00C40AF0"/>
    <w:rsid w:val="00C40F49"/>
    <w:rsid w:val="00C50061"/>
    <w:rsid w:val="00C50D42"/>
    <w:rsid w:val="00C54044"/>
    <w:rsid w:val="00C64AFC"/>
    <w:rsid w:val="00C6660F"/>
    <w:rsid w:val="00C704DA"/>
    <w:rsid w:val="00C768DF"/>
    <w:rsid w:val="00C85294"/>
    <w:rsid w:val="00C926FA"/>
    <w:rsid w:val="00C9464A"/>
    <w:rsid w:val="00CA416F"/>
    <w:rsid w:val="00CA6959"/>
    <w:rsid w:val="00CC5C3C"/>
    <w:rsid w:val="00CD6C0C"/>
    <w:rsid w:val="00CD7783"/>
    <w:rsid w:val="00CE79B8"/>
    <w:rsid w:val="00CF134D"/>
    <w:rsid w:val="00CF55CE"/>
    <w:rsid w:val="00CF5EC7"/>
    <w:rsid w:val="00D066DD"/>
    <w:rsid w:val="00D1170B"/>
    <w:rsid w:val="00D15D23"/>
    <w:rsid w:val="00D25036"/>
    <w:rsid w:val="00D426B3"/>
    <w:rsid w:val="00D43DB4"/>
    <w:rsid w:val="00D471D3"/>
    <w:rsid w:val="00D52CAF"/>
    <w:rsid w:val="00D53640"/>
    <w:rsid w:val="00D53DA2"/>
    <w:rsid w:val="00D56856"/>
    <w:rsid w:val="00D632F5"/>
    <w:rsid w:val="00D67F83"/>
    <w:rsid w:val="00D91893"/>
    <w:rsid w:val="00D938C4"/>
    <w:rsid w:val="00D96B7D"/>
    <w:rsid w:val="00DA2753"/>
    <w:rsid w:val="00DA4895"/>
    <w:rsid w:val="00DA5BA6"/>
    <w:rsid w:val="00DA7C11"/>
    <w:rsid w:val="00DB29A7"/>
    <w:rsid w:val="00DC2538"/>
    <w:rsid w:val="00DC2C5C"/>
    <w:rsid w:val="00DC3966"/>
    <w:rsid w:val="00DC4545"/>
    <w:rsid w:val="00DC4F5F"/>
    <w:rsid w:val="00DD1C53"/>
    <w:rsid w:val="00DE3B69"/>
    <w:rsid w:val="00DE4599"/>
    <w:rsid w:val="00DF1CD8"/>
    <w:rsid w:val="00E11B5C"/>
    <w:rsid w:val="00E12C16"/>
    <w:rsid w:val="00E13DB9"/>
    <w:rsid w:val="00E24926"/>
    <w:rsid w:val="00E32F64"/>
    <w:rsid w:val="00E35162"/>
    <w:rsid w:val="00E4157D"/>
    <w:rsid w:val="00E42033"/>
    <w:rsid w:val="00E455B4"/>
    <w:rsid w:val="00E61745"/>
    <w:rsid w:val="00E66050"/>
    <w:rsid w:val="00E71614"/>
    <w:rsid w:val="00E75AF2"/>
    <w:rsid w:val="00E96E40"/>
    <w:rsid w:val="00EA0BDC"/>
    <w:rsid w:val="00EB011E"/>
    <w:rsid w:val="00EE3DAD"/>
    <w:rsid w:val="00EF6197"/>
    <w:rsid w:val="00EF6815"/>
    <w:rsid w:val="00F03ADF"/>
    <w:rsid w:val="00F050A3"/>
    <w:rsid w:val="00F14311"/>
    <w:rsid w:val="00F153E4"/>
    <w:rsid w:val="00F165D0"/>
    <w:rsid w:val="00F24243"/>
    <w:rsid w:val="00F42461"/>
    <w:rsid w:val="00F57DE5"/>
    <w:rsid w:val="00F645C0"/>
    <w:rsid w:val="00F70EF9"/>
    <w:rsid w:val="00F75838"/>
    <w:rsid w:val="00F77D88"/>
    <w:rsid w:val="00F81685"/>
    <w:rsid w:val="00F92E13"/>
    <w:rsid w:val="00F977FA"/>
    <w:rsid w:val="00FA566E"/>
    <w:rsid w:val="00FB1157"/>
    <w:rsid w:val="00FC0C36"/>
    <w:rsid w:val="00FC2079"/>
    <w:rsid w:val="00FC2DA5"/>
    <w:rsid w:val="00FD4AC2"/>
    <w:rsid w:val="00FE5EE8"/>
    <w:rsid w:val="00FF202D"/>
    <w:rsid w:val="00FF6F52"/>
    <w:rsid w:val="00FF7B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D4827BA-0AD5-4204-A441-8704208D3F3C}"/>
  <w14:docId w14:val="78FAB9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182"/>
  </w:style>
  <w:style w:type="paragraph" w:styleId="Heading1">
    <w:name w:val="heading 1"/>
    <w:basedOn w:val="Normal"/>
    <w:next w:val="Normal"/>
    <w:link w:val="Heading1Char"/>
    <w:uiPriority w:val="9"/>
    <w:qFormat/>
    <w:rsid w:val="00226182"/>
    <w:pPr>
      <w:spacing w:before="480" w:after="0"/>
      <w:contextualSpacing/>
      <w:outlineLvl w:val="0"/>
    </w:pPr>
    <w:rPr>
      <w:rFonts w:asciiTheme="majorHAnsi" w:hAnsiTheme="majorHAnsi" w:eastAsiaTheme="majorEastAsia" w:cstheme="majorBidi"/>
      <w:b/>
      <w:bCs/>
      <w:sz w:val="28"/>
      <w:szCs w:val="28"/>
    </w:rPr>
  </w:style>
  <w:style w:type="paragraph" w:styleId="Heading2">
    <w:name w:val="heading 2"/>
    <w:basedOn w:val="Normal"/>
    <w:next w:val="Normal"/>
    <w:link w:val="Heading2Char"/>
    <w:uiPriority w:val="9"/>
    <w:unhideWhenUsed/>
    <w:qFormat/>
    <w:rsid w:val="00226182"/>
    <w:pPr>
      <w:spacing w:before="200" w:after="0"/>
      <w:outlineLvl w:val="1"/>
    </w:pPr>
    <w:rPr>
      <w:rFonts w:asciiTheme="majorHAnsi" w:hAnsiTheme="majorHAnsi" w:eastAsiaTheme="majorEastAsia" w:cstheme="majorBidi"/>
      <w:b/>
      <w:bCs/>
      <w:sz w:val="26"/>
      <w:szCs w:val="26"/>
    </w:rPr>
  </w:style>
  <w:style w:type="paragraph" w:styleId="Heading3">
    <w:name w:val="heading 3"/>
    <w:basedOn w:val="Normal"/>
    <w:next w:val="Normal"/>
    <w:link w:val="Heading3Char"/>
    <w:uiPriority w:val="9"/>
    <w:unhideWhenUsed/>
    <w:qFormat/>
    <w:rsid w:val="00226182"/>
    <w:pPr>
      <w:spacing w:before="200" w:after="0" w:line="271" w:lineRule="auto"/>
      <w:outlineLvl w:val="2"/>
    </w:pPr>
    <w:rPr>
      <w:rFonts w:asciiTheme="majorHAnsi" w:hAnsiTheme="majorHAnsi" w:eastAsiaTheme="majorEastAsia" w:cstheme="majorBidi"/>
      <w:b/>
      <w:bCs/>
    </w:rPr>
  </w:style>
  <w:style w:type="paragraph" w:styleId="Heading4">
    <w:name w:val="heading 4"/>
    <w:basedOn w:val="Normal"/>
    <w:next w:val="Normal"/>
    <w:link w:val="Heading4Char"/>
    <w:uiPriority w:val="9"/>
    <w:unhideWhenUsed/>
    <w:qFormat/>
    <w:rsid w:val="00226182"/>
    <w:pPr>
      <w:spacing w:before="200" w:after="0"/>
      <w:outlineLvl w:val="3"/>
    </w:pPr>
    <w:rPr>
      <w:rFonts w:asciiTheme="majorHAnsi" w:hAnsiTheme="majorHAnsi" w:eastAsiaTheme="majorEastAsia" w:cstheme="majorBidi"/>
      <w:b/>
      <w:bCs/>
      <w:i/>
      <w:iCs/>
    </w:rPr>
  </w:style>
  <w:style w:type="paragraph" w:styleId="Heading5">
    <w:name w:val="heading 5"/>
    <w:basedOn w:val="Normal"/>
    <w:next w:val="Normal"/>
    <w:link w:val="Heading5Char"/>
    <w:uiPriority w:val="9"/>
    <w:semiHidden/>
    <w:unhideWhenUsed/>
    <w:qFormat/>
    <w:rsid w:val="00226182"/>
    <w:pPr>
      <w:spacing w:before="200" w:after="0"/>
      <w:outlineLvl w:val="4"/>
    </w:pPr>
    <w:rPr>
      <w:rFonts w:asciiTheme="majorHAnsi" w:hAnsiTheme="majorHAnsi"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226182"/>
    <w:pPr>
      <w:spacing w:after="0" w:line="271" w:lineRule="auto"/>
      <w:outlineLvl w:val="5"/>
    </w:pPr>
    <w:rPr>
      <w:rFonts w:asciiTheme="majorHAnsi" w:hAnsiTheme="majorHAnsi"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26182"/>
    <w:pPr>
      <w:spacing w:after="0"/>
      <w:outlineLvl w:val="6"/>
    </w:pPr>
    <w:rPr>
      <w:rFonts w:asciiTheme="majorHAnsi" w:hAnsiTheme="majorHAnsi" w:eastAsiaTheme="majorEastAsia" w:cstheme="majorBidi"/>
      <w:i/>
      <w:iCs/>
    </w:rPr>
  </w:style>
  <w:style w:type="paragraph" w:styleId="Heading8">
    <w:name w:val="heading 8"/>
    <w:basedOn w:val="Normal"/>
    <w:next w:val="Normal"/>
    <w:link w:val="Heading8Char"/>
    <w:uiPriority w:val="9"/>
    <w:semiHidden/>
    <w:unhideWhenUsed/>
    <w:qFormat/>
    <w:rsid w:val="00226182"/>
    <w:pPr>
      <w:spacing w:after="0"/>
      <w:outlineLvl w:val="7"/>
    </w:pPr>
    <w:rPr>
      <w:rFonts w:asciiTheme="majorHAnsi" w:hAnsiTheme="majorHAnsi" w:eastAsiaTheme="majorEastAsia" w:cstheme="majorBidi"/>
      <w:sz w:val="20"/>
      <w:szCs w:val="20"/>
    </w:rPr>
  </w:style>
  <w:style w:type="paragraph" w:styleId="Heading9">
    <w:name w:val="heading 9"/>
    <w:basedOn w:val="Normal"/>
    <w:next w:val="Normal"/>
    <w:link w:val="Heading9Char"/>
    <w:uiPriority w:val="9"/>
    <w:semiHidden/>
    <w:unhideWhenUsed/>
    <w:qFormat/>
    <w:rsid w:val="00226182"/>
    <w:pPr>
      <w:spacing w:after="0"/>
      <w:outlineLvl w:val="8"/>
    </w:pPr>
    <w:rPr>
      <w:rFonts w:asciiTheme="majorHAnsi" w:hAnsiTheme="majorHAnsi"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26182"/>
    <w:pPr>
      <w:ind w:left="720"/>
      <w:contextualSpacing/>
    </w:pPr>
  </w:style>
  <w:style w:type="table" w:styleId="TableGrid">
    <w:name w:val="Table Grid"/>
    <w:basedOn w:val="TableNormal"/>
    <w:uiPriority w:val="59"/>
    <w:rsid w:val="0013363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basedOn w:val="Normal"/>
    <w:uiPriority w:val="1"/>
    <w:qFormat/>
    <w:rsid w:val="00226182"/>
    <w:pPr>
      <w:spacing w:after="0" w:line="240" w:lineRule="auto"/>
    </w:pPr>
  </w:style>
  <w:style w:type="numbering" w:customStyle="1" w:styleId="NoList1">
    <w:name w:val="No List1"/>
    <w:next w:val="NoList"/>
    <w:uiPriority w:val="99"/>
    <w:semiHidden/>
    <w:unhideWhenUsed/>
    <w:rsid w:val="00133632"/>
  </w:style>
  <w:style w:type="paragraph" w:styleId="Header">
    <w:name w:val="header"/>
    <w:basedOn w:val="Normal"/>
    <w:link w:val="HeaderChar"/>
    <w:uiPriority w:val="99"/>
    <w:unhideWhenUsed/>
    <w:rsid w:val="00133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632"/>
  </w:style>
  <w:style w:type="paragraph" w:styleId="Footer">
    <w:name w:val="footer"/>
    <w:basedOn w:val="Normal"/>
    <w:link w:val="FooterChar"/>
    <w:uiPriority w:val="99"/>
    <w:unhideWhenUsed/>
    <w:rsid w:val="00133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632"/>
  </w:style>
  <w:style w:type="paragraph" w:styleId="BalloonText">
    <w:name w:val="Balloon Text"/>
    <w:basedOn w:val="Normal"/>
    <w:link w:val="BalloonTextChar"/>
    <w:uiPriority w:val="99"/>
    <w:semiHidden/>
    <w:unhideWhenUsed/>
    <w:rsid w:val="00133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632"/>
    <w:rPr>
      <w:rFonts w:ascii="Tahoma" w:hAnsi="Tahoma" w:cs="Tahoma"/>
      <w:sz w:val="16"/>
      <w:szCs w:val="16"/>
    </w:rPr>
  </w:style>
  <w:style w:type="paragraph" w:styleId="FootnoteText">
    <w:name w:val="footnote text"/>
    <w:basedOn w:val="Normal"/>
    <w:link w:val="FootnoteTextChar"/>
    <w:uiPriority w:val="99"/>
    <w:unhideWhenUsed/>
    <w:rsid w:val="007E2758"/>
    <w:pPr>
      <w:spacing w:after="0" w:line="240" w:lineRule="auto"/>
    </w:pPr>
    <w:rPr>
      <w:rFonts w:ascii="Times New Roman" w:hAnsi="Times New Roman"/>
      <w:sz w:val="18"/>
      <w:szCs w:val="20"/>
    </w:rPr>
  </w:style>
  <w:style w:type="character" w:customStyle="1" w:styleId="FootnoteTextChar">
    <w:name w:val="Footnote Text Char"/>
    <w:basedOn w:val="DefaultParagraphFont"/>
    <w:link w:val="FootnoteText"/>
    <w:uiPriority w:val="99"/>
    <w:rsid w:val="007E2758"/>
    <w:rPr>
      <w:rFonts w:ascii="Times New Roman" w:hAnsi="Times New Roman"/>
      <w:sz w:val="18"/>
      <w:szCs w:val="20"/>
    </w:rPr>
  </w:style>
  <w:style w:type="character" w:styleId="FootnoteReference">
    <w:name w:val="footnote reference"/>
    <w:aliases w:val="16 Point,Superscript 6 Point,Superscript 6 Point + 11 pt,ftref,BVI fnr,BVI fnr Car Car,BVI fnr Car,BVI fnr Car Car Car Car,Footnote text"/>
    <w:basedOn w:val="DefaultParagraphFont"/>
    <w:uiPriority w:val="99"/>
    <w:unhideWhenUsed/>
    <w:rsid w:val="00133632"/>
    <w:rPr>
      <w:vertAlign w:val="superscript"/>
    </w:rPr>
  </w:style>
  <w:style w:type="paragraph" w:styleId="EndnoteText">
    <w:name w:val="endnote text"/>
    <w:basedOn w:val="Normal"/>
    <w:link w:val="EndnoteTextChar"/>
    <w:uiPriority w:val="99"/>
    <w:semiHidden/>
    <w:unhideWhenUsed/>
    <w:rsid w:val="001336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3632"/>
    <w:rPr>
      <w:sz w:val="20"/>
      <w:szCs w:val="20"/>
    </w:rPr>
  </w:style>
  <w:style w:type="character" w:styleId="EndnoteReference">
    <w:name w:val="endnote reference"/>
    <w:basedOn w:val="DefaultParagraphFont"/>
    <w:uiPriority w:val="99"/>
    <w:semiHidden/>
    <w:unhideWhenUsed/>
    <w:rsid w:val="00133632"/>
    <w:rPr>
      <w:vertAlign w:val="superscript"/>
    </w:rPr>
  </w:style>
  <w:style w:type="character" w:styleId="Hyperlink">
    <w:name w:val="Hyperlink"/>
    <w:basedOn w:val="DefaultParagraphFont"/>
    <w:uiPriority w:val="99"/>
    <w:unhideWhenUsed/>
    <w:rsid w:val="00133632"/>
    <w:rPr>
      <w:color w:val="0000FF" w:themeColor="hyperlink"/>
      <w:u w:val="single"/>
    </w:rPr>
  </w:style>
  <w:style w:type="character" w:customStyle="1" w:styleId="apple-converted-space">
    <w:name w:val="apple-converted-space"/>
    <w:basedOn w:val="DefaultParagraphFont"/>
    <w:rsid w:val="00133632"/>
  </w:style>
  <w:style w:type="character" w:customStyle="1" w:styleId="caps">
    <w:name w:val="caps"/>
    <w:basedOn w:val="DefaultParagraphFont"/>
    <w:rsid w:val="00133632"/>
  </w:style>
  <w:style w:type="character" w:customStyle="1" w:styleId="A15">
    <w:name w:val="A15"/>
    <w:uiPriority w:val="99"/>
    <w:rsid w:val="00133632"/>
    <w:rPr>
      <w:color w:val="000000"/>
    </w:rPr>
  </w:style>
  <w:style w:type="character" w:customStyle="1" w:styleId="A2">
    <w:name w:val="A2"/>
    <w:uiPriority w:val="99"/>
    <w:rsid w:val="00133632"/>
    <w:rPr>
      <w:rFonts w:cs="Clearface Regular"/>
      <w:color w:val="221E1F"/>
      <w:sz w:val="16"/>
      <w:szCs w:val="16"/>
    </w:rPr>
  </w:style>
  <w:style w:type="paragraph" w:styleId="NormalWeb">
    <w:name w:val="Normal (Web)"/>
    <w:basedOn w:val="Normal"/>
    <w:uiPriority w:val="99"/>
    <w:unhideWhenUsed/>
    <w:rsid w:val="00133632"/>
    <w:pPr>
      <w:spacing w:before="100" w:beforeAutospacing="1" w:after="100" w:afterAutospacing="1" w:line="240" w:lineRule="auto"/>
    </w:pPr>
    <w:rPr>
      <w:rFonts w:ascii="Times" w:hAnsi="Times" w:cs="Times New Roman"/>
      <w:sz w:val="20"/>
      <w:szCs w:val="20"/>
    </w:rPr>
  </w:style>
  <w:style w:type="character" w:styleId="Emphasis">
    <w:name w:val="Emphasis"/>
    <w:uiPriority w:val="20"/>
    <w:qFormat/>
    <w:rsid w:val="00226182"/>
    <w:rPr>
      <w:b/>
      <w:bCs/>
      <w:i/>
      <w:iCs/>
      <w:spacing w:val="10"/>
      <w:bdr w:val="none" w:color="auto" w:sz="0" w:space="0"/>
      <w:shd w:val="clear" w:color="auto" w:fill="auto"/>
    </w:rPr>
  </w:style>
  <w:style w:type="character" w:styleId="HTMLCite">
    <w:name w:val="HTML Cite"/>
    <w:basedOn w:val="DefaultParagraphFont"/>
    <w:uiPriority w:val="99"/>
    <w:semiHidden/>
    <w:unhideWhenUsed/>
    <w:rsid w:val="00133632"/>
    <w:rPr>
      <w:i/>
      <w:iCs/>
    </w:rPr>
  </w:style>
  <w:style w:type="character" w:styleId="FollowedHyperlink">
    <w:name w:val="FollowedHyperlink"/>
    <w:basedOn w:val="DefaultParagraphFont"/>
    <w:uiPriority w:val="99"/>
    <w:semiHidden/>
    <w:unhideWhenUsed/>
    <w:rsid w:val="00133632"/>
    <w:rPr>
      <w:color w:val="800080" w:themeColor="followedHyperlink"/>
      <w:u w:val="single"/>
    </w:rPr>
  </w:style>
  <w:style w:type="character" w:styleId="Strong">
    <w:name w:val="Strong"/>
    <w:uiPriority w:val="22"/>
    <w:qFormat/>
    <w:rsid w:val="00226182"/>
    <w:rPr>
      <w:b/>
      <w:bCs/>
    </w:rPr>
  </w:style>
  <w:style w:type="character" w:customStyle="1" w:styleId="Heading1Char">
    <w:name w:val="Heading 1 Char"/>
    <w:basedOn w:val="DefaultParagraphFont"/>
    <w:link w:val="Heading1"/>
    <w:uiPriority w:val="9"/>
    <w:rsid w:val="00226182"/>
    <w:rPr>
      <w:rFonts w:asciiTheme="majorHAnsi" w:hAnsiTheme="majorHAnsi" w:eastAsiaTheme="majorEastAsia" w:cstheme="majorBidi"/>
      <w:b/>
      <w:bCs/>
      <w:sz w:val="28"/>
      <w:szCs w:val="28"/>
    </w:rPr>
  </w:style>
  <w:style w:type="paragraph" w:styleId="TOCHeading">
    <w:name w:val="TOC Heading"/>
    <w:basedOn w:val="Heading1"/>
    <w:next w:val="Normal"/>
    <w:uiPriority w:val="39"/>
    <w:semiHidden/>
    <w:unhideWhenUsed/>
    <w:qFormat/>
    <w:rsid w:val="00226182"/>
    <w:pPr>
      <w:outlineLvl w:val="9"/>
    </w:pPr>
    <w:rPr>
      <w:lang w:bidi="en-US"/>
    </w:rPr>
  </w:style>
  <w:style w:type="character" w:customStyle="1" w:styleId="Heading2Char">
    <w:name w:val="Heading 2 Char"/>
    <w:basedOn w:val="DefaultParagraphFont"/>
    <w:link w:val="Heading2"/>
    <w:uiPriority w:val="9"/>
    <w:rsid w:val="00226182"/>
    <w:rPr>
      <w:rFonts w:asciiTheme="majorHAnsi" w:hAnsiTheme="majorHAnsi" w:eastAsiaTheme="majorEastAsia" w:cstheme="majorBidi"/>
      <w:b/>
      <w:bCs/>
      <w:sz w:val="26"/>
      <w:szCs w:val="26"/>
    </w:rPr>
  </w:style>
  <w:style w:type="character" w:customStyle="1" w:styleId="Heading3Char">
    <w:name w:val="Heading 3 Char"/>
    <w:basedOn w:val="DefaultParagraphFont"/>
    <w:link w:val="Heading3"/>
    <w:uiPriority w:val="9"/>
    <w:rsid w:val="00226182"/>
    <w:rPr>
      <w:rFonts w:asciiTheme="majorHAnsi" w:hAnsiTheme="majorHAnsi" w:eastAsiaTheme="majorEastAsia" w:cstheme="majorBidi"/>
      <w:b/>
      <w:bCs/>
    </w:rPr>
  </w:style>
  <w:style w:type="character" w:customStyle="1" w:styleId="Heading4Char">
    <w:name w:val="Heading 4 Char"/>
    <w:basedOn w:val="DefaultParagraphFont"/>
    <w:link w:val="Heading4"/>
    <w:uiPriority w:val="9"/>
    <w:rsid w:val="00226182"/>
    <w:rPr>
      <w:rFonts w:asciiTheme="majorHAnsi" w:hAnsiTheme="majorHAnsi" w:eastAsiaTheme="majorEastAsia" w:cstheme="majorBidi"/>
      <w:b/>
      <w:bCs/>
      <w:i/>
      <w:iCs/>
    </w:rPr>
  </w:style>
  <w:style w:type="character" w:customStyle="1" w:styleId="Heading5Char">
    <w:name w:val="Heading 5 Char"/>
    <w:basedOn w:val="DefaultParagraphFont"/>
    <w:link w:val="Heading5"/>
    <w:uiPriority w:val="9"/>
    <w:semiHidden/>
    <w:rsid w:val="00226182"/>
    <w:rPr>
      <w:rFonts w:asciiTheme="majorHAnsi" w:hAnsiTheme="majorHAnsi" w:eastAsiaTheme="majorEastAsia" w:cstheme="majorBidi"/>
      <w:b/>
      <w:bCs/>
      <w:color w:val="7F7F7F" w:themeColor="text1" w:themeTint="80"/>
    </w:rPr>
  </w:style>
  <w:style w:type="character" w:customStyle="1" w:styleId="Heading6Char">
    <w:name w:val="Heading 6 Char"/>
    <w:basedOn w:val="DefaultParagraphFont"/>
    <w:link w:val="Heading6"/>
    <w:uiPriority w:val="9"/>
    <w:semiHidden/>
    <w:rsid w:val="00226182"/>
    <w:rPr>
      <w:rFonts w:asciiTheme="majorHAnsi" w:hAnsiTheme="majorHAnsi" w:eastAsiaTheme="majorEastAsia" w:cstheme="majorBidi"/>
      <w:b/>
      <w:bCs/>
      <w:i/>
      <w:iCs/>
      <w:color w:val="7F7F7F" w:themeColor="text1" w:themeTint="80"/>
    </w:rPr>
  </w:style>
  <w:style w:type="character" w:customStyle="1" w:styleId="Heading7Char">
    <w:name w:val="Heading 7 Char"/>
    <w:basedOn w:val="DefaultParagraphFont"/>
    <w:link w:val="Heading7"/>
    <w:uiPriority w:val="9"/>
    <w:semiHidden/>
    <w:rsid w:val="00226182"/>
    <w:rPr>
      <w:rFonts w:asciiTheme="majorHAnsi" w:hAnsiTheme="majorHAnsi" w:eastAsiaTheme="majorEastAsia" w:cstheme="majorBidi"/>
      <w:i/>
      <w:iCs/>
    </w:rPr>
  </w:style>
  <w:style w:type="character" w:customStyle="1" w:styleId="Heading8Char">
    <w:name w:val="Heading 8 Char"/>
    <w:basedOn w:val="DefaultParagraphFont"/>
    <w:link w:val="Heading8"/>
    <w:uiPriority w:val="9"/>
    <w:semiHidden/>
    <w:rsid w:val="00226182"/>
    <w:rPr>
      <w:rFonts w:asciiTheme="majorHAnsi" w:hAnsiTheme="majorHAnsi" w:eastAsiaTheme="majorEastAsia" w:cstheme="majorBidi"/>
      <w:sz w:val="20"/>
      <w:szCs w:val="20"/>
    </w:rPr>
  </w:style>
  <w:style w:type="character" w:customStyle="1" w:styleId="Heading9Char">
    <w:name w:val="Heading 9 Char"/>
    <w:basedOn w:val="DefaultParagraphFont"/>
    <w:link w:val="Heading9"/>
    <w:uiPriority w:val="9"/>
    <w:semiHidden/>
    <w:rsid w:val="00226182"/>
    <w:rPr>
      <w:rFonts w:asciiTheme="majorHAnsi" w:hAnsiTheme="majorHAnsi" w:eastAsiaTheme="majorEastAsia" w:cstheme="majorBidi"/>
      <w:i/>
      <w:iCs/>
      <w:spacing w:val="5"/>
      <w:sz w:val="20"/>
      <w:szCs w:val="20"/>
    </w:rPr>
  </w:style>
  <w:style w:type="paragraph" w:styleId="Title">
    <w:name w:val="Title"/>
    <w:basedOn w:val="Normal"/>
    <w:next w:val="Normal"/>
    <w:link w:val="TitleChar"/>
    <w:uiPriority w:val="10"/>
    <w:qFormat/>
    <w:rsid w:val="00226182"/>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character" w:customStyle="1" w:styleId="TitleChar">
    <w:name w:val="Title Char"/>
    <w:basedOn w:val="DefaultParagraphFont"/>
    <w:link w:val="Title"/>
    <w:uiPriority w:val="10"/>
    <w:rsid w:val="00226182"/>
    <w:rPr>
      <w:rFonts w:asciiTheme="majorHAnsi" w:hAnsiTheme="majorHAnsi" w:eastAsiaTheme="majorEastAsia" w:cstheme="majorBidi"/>
      <w:spacing w:val="5"/>
      <w:sz w:val="52"/>
      <w:szCs w:val="52"/>
    </w:rPr>
  </w:style>
  <w:style w:type="paragraph" w:styleId="Subtitle">
    <w:name w:val="Subtitle"/>
    <w:basedOn w:val="Normal"/>
    <w:next w:val="Normal"/>
    <w:link w:val="SubtitleChar"/>
    <w:uiPriority w:val="11"/>
    <w:qFormat/>
    <w:rsid w:val="00226182"/>
    <w:pPr>
      <w:spacing w:after="600"/>
    </w:pPr>
    <w:rPr>
      <w:rFonts w:asciiTheme="majorHAnsi" w:hAnsiTheme="majorHAnsi" w:eastAsiaTheme="majorEastAsia" w:cstheme="majorBidi"/>
      <w:i/>
      <w:iCs/>
      <w:spacing w:val="13"/>
      <w:sz w:val="24"/>
      <w:szCs w:val="24"/>
    </w:rPr>
  </w:style>
  <w:style w:type="character" w:customStyle="1" w:styleId="SubtitleChar">
    <w:name w:val="Subtitle Char"/>
    <w:basedOn w:val="DefaultParagraphFont"/>
    <w:link w:val="Subtitle"/>
    <w:uiPriority w:val="11"/>
    <w:rsid w:val="00226182"/>
    <w:rPr>
      <w:rFonts w:asciiTheme="majorHAnsi" w:hAnsiTheme="majorHAnsi" w:eastAsiaTheme="majorEastAsia" w:cstheme="majorBidi"/>
      <w:i/>
      <w:iCs/>
      <w:spacing w:val="13"/>
      <w:sz w:val="24"/>
      <w:szCs w:val="24"/>
    </w:rPr>
  </w:style>
  <w:style w:type="paragraph" w:styleId="Quote">
    <w:name w:val="Quote"/>
    <w:basedOn w:val="Normal"/>
    <w:next w:val="Normal"/>
    <w:link w:val="QuoteChar"/>
    <w:uiPriority w:val="29"/>
    <w:qFormat/>
    <w:rsid w:val="00226182"/>
    <w:pPr>
      <w:spacing w:before="200" w:after="0"/>
      <w:ind w:left="360" w:right="360"/>
    </w:pPr>
    <w:rPr>
      <w:i/>
      <w:iCs/>
    </w:rPr>
  </w:style>
  <w:style w:type="character" w:customStyle="1" w:styleId="QuoteChar">
    <w:name w:val="Quote Char"/>
    <w:basedOn w:val="DefaultParagraphFont"/>
    <w:link w:val="Quote"/>
    <w:uiPriority w:val="29"/>
    <w:rsid w:val="00226182"/>
    <w:rPr>
      <w:i/>
      <w:iCs/>
    </w:rPr>
  </w:style>
  <w:style w:type="paragraph" w:styleId="IntenseQuote">
    <w:name w:val="Intense Quote"/>
    <w:basedOn w:val="Normal"/>
    <w:next w:val="Normal"/>
    <w:link w:val="IntenseQuoteChar"/>
    <w:uiPriority w:val="30"/>
    <w:qFormat/>
    <w:rsid w:val="00226182"/>
    <w:pPr>
      <w:pBdr>
        <w:bottom w:val="single" w:color="auto" w:sz="4" w:space="1"/>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26182"/>
    <w:rPr>
      <w:b/>
      <w:bCs/>
      <w:i/>
      <w:iCs/>
    </w:rPr>
  </w:style>
  <w:style w:type="character" w:styleId="SubtleEmphasis">
    <w:name w:val="Subtle Emphasis"/>
    <w:uiPriority w:val="19"/>
    <w:qFormat/>
    <w:rsid w:val="00226182"/>
    <w:rPr>
      <w:i/>
      <w:iCs/>
    </w:rPr>
  </w:style>
  <w:style w:type="character" w:styleId="IntenseEmphasis">
    <w:name w:val="Intense Emphasis"/>
    <w:uiPriority w:val="21"/>
    <w:qFormat/>
    <w:rsid w:val="00226182"/>
    <w:rPr>
      <w:b/>
      <w:bCs/>
    </w:rPr>
  </w:style>
  <w:style w:type="character" w:styleId="SubtleReference">
    <w:name w:val="Subtle Reference"/>
    <w:uiPriority w:val="31"/>
    <w:qFormat/>
    <w:rsid w:val="00226182"/>
    <w:rPr>
      <w:smallCaps/>
    </w:rPr>
  </w:style>
  <w:style w:type="character" w:styleId="IntenseReference">
    <w:name w:val="Intense Reference"/>
    <w:uiPriority w:val="32"/>
    <w:qFormat/>
    <w:rsid w:val="00226182"/>
    <w:rPr>
      <w:smallCaps/>
      <w:spacing w:val="5"/>
      <w:u w:val="single"/>
    </w:rPr>
  </w:style>
  <w:style w:type="character" w:styleId="BookTitle">
    <w:name w:val="Book Title"/>
    <w:uiPriority w:val="33"/>
    <w:qFormat/>
    <w:rsid w:val="00226182"/>
    <w:rPr>
      <w:i/>
      <w:iCs/>
      <w:smallCaps/>
      <w:spacing w:val="5"/>
    </w:rPr>
  </w:style>
  <w:style w:type="paragraph" w:styleId="TOC1">
    <w:name w:val="toc 1"/>
    <w:basedOn w:val="Normal"/>
    <w:next w:val="Normal"/>
    <w:autoRedefine/>
    <w:uiPriority w:val="39"/>
    <w:unhideWhenUsed/>
    <w:rsid w:val="0088527F"/>
    <w:pPr>
      <w:tabs>
        <w:tab w:val="right" w:leader="dot" w:pos="9350"/>
      </w:tabs>
      <w:spacing w:after="100"/>
    </w:pPr>
    <w:rPr>
      <w:rFonts w:ascii="Times New Roman" w:hAnsi="Times New Roman" w:eastAsia="Times New Roman" w:cs="Times New Roman"/>
      <w:noProof/>
    </w:rPr>
  </w:style>
  <w:style w:type="paragraph" w:styleId="TOC2">
    <w:name w:val="toc 2"/>
    <w:basedOn w:val="Normal"/>
    <w:next w:val="Normal"/>
    <w:autoRedefine/>
    <w:uiPriority w:val="39"/>
    <w:unhideWhenUsed/>
    <w:rsid w:val="00904B28"/>
    <w:pPr>
      <w:tabs>
        <w:tab w:val="right" w:leader="dot" w:pos="9350"/>
      </w:tabs>
      <w:spacing w:after="100"/>
      <w:ind w:left="220"/>
    </w:pPr>
  </w:style>
  <w:style w:type="paragraph" w:styleId="TOC3">
    <w:name w:val="toc 3"/>
    <w:basedOn w:val="Normal"/>
    <w:next w:val="Normal"/>
    <w:autoRedefine/>
    <w:uiPriority w:val="39"/>
    <w:unhideWhenUsed/>
    <w:rsid w:val="00C64AFC"/>
    <w:pPr>
      <w:spacing w:after="100"/>
      <w:ind w:left="440"/>
    </w:pPr>
  </w:style>
  <w:style w:type="paragraph" w:customStyle="1" w:styleId="para">
    <w:name w:val="para"/>
    <w:basedOn w:val="Normal"/>
    <w:rsid w:val="008E5A15"/>
    <w:pPr>
      <w:tabs>
        <w:tab w:val="left" w:pos="720"/>
      </w:tabs>
      <w:spacing w:after="240" w:line="240" w:lineRule="auto"/>
      <w:jc w:val="both"/>
    </w:pPr>
    <w:rPr>
      <w:rFonts w:ascii="Times New Roman" w:hAnsi="Times New Roman" w:eastAsia="Times New Roman" w:cs="Times New Roman"/>
      <w:sz w:val="24"/>
      <w:szCs w:val="24"/>
    </w:rPr>
  </w:style>
  <w:style w:type="paragraph" w:styleId="BodyTextIndent3">
    <w:name w:val="Body Text Indent 3"/>
    <w:basedOn w:val="Normal"/>
    <w:link w:val="BodyTextIndent3Char"/>
    <w:rsid w:val="00E61745"/>
    <w:pPr>
      <w:spacing w:after="0" w:line="240" w:lineRule="auto"/>
      <w:ind w:left="540"/>
    </w:pPr>
    <w:rPr>
      <w:rFonts w:ascii="Times New Roman" w:hAnsi="Times New Roman" w:eastAsia="Times New Roman" w:cs="Times New Roman"/>
      <w:sz w:val="24"/>
      <w:szCs w:val="24"/>
    </w:rPr>
  </w:style>
  <w:style w:type="character" w:customStyle="1" w:styleId="BodyTextIndent3Char">
    <w:name w:val="Body Text Indent 3 Char"/>
    <w:basedOn w:val="DefaultParagraphFont"/>
    <w:link w:val="BodyTextIndent3"/>
    <w:rsid w:val="00E61745"/>
    <w:rPr>
      <w:rFonts w:ascii="Times New Roman" w:hAnsi="Times New Roman" w:eastAsia="Times New Roman" w:cs="Times New Roman"/>
      <w:sz w:val="24"/>
      <w:szCs w:val="24"/>
    </w:rPr>
  </w:style>
  <w:style w:type="paragraph" w:customStyle="1" w:styleId="ColorfulList-Accent12">
    <w:name w:val="Colorful List - Accent 12"/>
    <w:basedOn w:val="Normal"/>
    <w:uiPriority w:val="34"/>
    <w:qFormat/>
    <w:rsid w:val="00E61745"/>
    <w:pPr>
      <w:spacing w:after="0" w:line="240" w:lineRule="auto"/>
      <w:ind w:left="720"/>
    </w:pPr>
    <w:rPr>
      <w:rFonts w:ascii="Times New Roman" w:hAnsi="Times New Roman" w:eastAsia="Times New Roman" w:cs="Times New Roman"/>
      <w:sz w:val="24"/>
      <w:szCs w:val="24"/>
    </w:rPr>
  </w:style>
  <w:style w:type="paragraph" w:customStyle="1" w:styleId="colorfullist-accent11">
    <w:name w:val="colorfullist-accent11"/>
    <w:basedOn w:val="Normal"/>
    <w:rsid w:val="00E61745"/>
    <w:pPr>
      <w:spacing w:before="100" w:beforeAutospacing="1" w:after="100" w:afterAutospacing="1" w:line="240" w:lineRule="auto"/>
    </w:pPr>
    <w:rPr>
      <w:rFonts w:ascii="Times New Roman" w:hAnsi="Times New Roman" w:eastAsia="Calibri" w:cs="Times New Roman"/>
      <w:sz w:val="24"/>
      <w:szCs w:val="24"/>
      <w:lang w:val="es-PA" w:eastAsia="es-PA"/>
    </w:rPr>
  </w:style>
  <w:style w:type="character" w:customStyle="1" w:styleId="apple-style-span">
    <w:name w:val="apple-style-span"/>
    <w:rsid w:val="00E61745"/>
  </w:style>
  <w:style w:type="table" w:customStyle="1" w:styleId="TableGrid2">
    <w:name w:val="Table Grid2"/>
    <w:basedOn w:val="TableNormal"/>
    <w:next w:val="TableGrid"/>
    <w:uiPriority w:val="59"/>
    <w:rsid w:val="00D25036"/>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85F50"/>
    <w:pPr>
      <w:spacing w:after="0" w:line="240" w:lineRule="auto"/>
    </w:pPr>
    <w:rPr>
      <w:rFonts w:eastAsiaTheme="minorHAnsi"/>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70DA8"/>
    <w:pPr>
      <w:spacing w:after="0" w:line="240" w:lineRule="auto"/>
    </w:pPr>
    <w:rPr>
      <w:sz w:val="24"/>
      <w:szCs w:val="24"/>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B37224"/>
    <w:pPr>
      <w:spacing w:after="120"/>
    </w:pPr>
    <w:rPr>
      <w:sz w:val="16"/>
      <w:szCs w:val="16"/>
    </w:rPr>
  </w:style>
  <w:style w:type="character" w:customStyle="1" w:styleId="BodyText3Char">
    <w:name w:val="Body Text 3 Char"/>
    <w:basedOn w:val="DefaultParagraphFont"/>
    <w:link w:val="BodyText3"/>
    <w:uiPriority w:val="99"/>
    <w:semiHidden/>
    <w:rsid w:val="00B37224"/>
    <w:rPr>
      <w:sz w:val="16"/>
      <w:szCs w:val="16"/>
    </w:rPr>
  </w:style>
  <w:style w:type="paragraph" w:customStyle="1" w:styleId="NumberedParas">
    <w:name w:val="Numbered Paras"/>
    <w:basedOn w:val="Normal"/>
    <w:qFormat/>
    <w:rsid w:val="00B37224"/>
    <w:pPr>
      <w:numPr>
        <w:numId w:val="76"/>
      </w:numPr>
      <w:spacing w:after="0" w:line="240" w:lineRule="auto"/>
      <w:ind w:left="0" w:firstLine="0"/>
      <w:jc w:val="both"/>
    </w:pPr>
    <w:rPr>
      <w:rFonts w:ascii="Times New Roman" w:hAnsi="Times New Roman" w:eastAsia="Times New Roman" w:cs="Times New Roman"/>
      <w:noProof/>
    </w:rPr>
  </w:style>
  <w:style w:type="table" w:customStyle="1" w:styleId="TableGrid4">
    <w:name w:val="Table Grid4"/>
    <w:basedOn w:val="TableNormal"/>
    <w:next w:val="TableGrid"/>
    <w:uiPriority w:val="59"/>
    <w:rsid w:val="009A165B"/>
    <w:pPr>
      <w:spacing w:after="0" w:line="240" w:lineRule="auto"/>
    </w:pPr>
    <w:rPr>
      <w:rFonts w:eastAsiaTheme="minorHAnsi"/>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518B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252F4"/>
    <w:pPr>
      <w:spacing w:after="0" w:line="240" w:lineRule="auto"/>
    </w:pPr>
    <w:rPr>
      <w:rFonts w:eastAsiaTheme="minorHAnsi"/>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hps">
    <w:name w:val="hps"/>
    <w:rsid w:val="00B34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9698">
      <w:bodyDiv w:val="1"/>
      <w:marLeft w:val="0"/>
      <w:marRight w:val="0"/>
      <w:marTop w:val="0"/>
      <w:marBottom w:val="0"/>
      <w:divBdr>
        <w:top w:val="none" w:sz="0" w:space="0" w:color="auto"/>
        <w:left w:val="none" w:sz="0" w:space="0" w:color="auto"/>
        <w:bottom w:val="none" w:sz="0" w:space="0" w:color="auto"/>
        <w:right w:val="none" w:sz="0" w:space="0" w:color="auto"/>
      </w:divBdr>
    </w:div>
    <w:div w:id="465241898">
      <w:bodyDiv w:val="1"/>
      <w:marLeft w:val="0"/>
      <w:marRight w:val="0"/>
      <w:marTop w:val="0"/>
      <w:marBottom w:val="0"/>
      <w:divBdr>
        <w:top w:val="none" w:sz="0" w:space="0" w:color="auto"/>
        <w:left w:val="none" w:sz="0" w:space="0" w:color="auto"/>
        <w:bottom w:val="none" w:sz="0" w:space="0" w:color="auto"/>
        <w:right w:val="none" w:sz="0" w:space="0" w:color="auto"/>
      </w:divBdr>
    </w:div>
    <w:div w:id="661548000">
      <w:bodyDiv w:val="1"/>
      <w:marLeft w:val="0"/>
      <w:marRight w:val="0"/>
      <w:marTop w:val="0"/>
      <w:marBottom w:val="0"/>
      <w:divBdr>
        <w:top w:val="none" w:sz="0" w:space="0" w:color="auto"/>
        <w:left w:val="none" w:sz="0" w:space="0" w:color="auto"/>
        <w:bottom w:val="none" w:sz="0" w:space="0" w:color="auto"/>
        <w:right w:val="none" w:sz="0" w:space="0" w:color="auto"/>
      </w:divBdr>
    </w:div>
    <w:div w:id="809513262">
      <w:bodyDiv w:val="1"/>
      <w:marLeft w:val="0"/>
      <w:marRight w:val="0"/>
      <w:marTop w:val="0"/>
      <w:marBottom w:val="0"/>
      <w:divBdr>
        <w:top w:val="none" w:sz="0" w:space="0" w:color="auto"/>
        <w:left w:val="none" w:sz="0" w:space="0" w:color="auto"/>
        <w:bottom w:val="none" w:sz="0" w:space="0" w:color="auto"/>
        <w:right w:val="none" w:sz="0" w:space="0" w:color="auto"/>
      </w:divBdr>
    </w:div>
    <w:div w:id="824860006">
      <w:bodyDiv w:val="1"/>
      <w:marLeft w:val="0"/>
      <w:marRight w:val="0"/>
      <w:marTop w:val="0"/>
      <w:marBottom w:val="0"/>
      <w:divBdr>
        <w:top w:val="none" w:sz="0" w:space="0" w:color="auto"/>
        <w:left w:val="none" w:sz="0" w:space="0" w:color="auto"/>
        <w:bottom w:val="none" w:sz="0" w:space="0" w:color="auto"/>
        <w:right w:val="none" w:sz="0" w:space="0" w:color="auto"/>
      </w:divBdr>
    </w:div>
    <w:div w:id="1800109336">
      <w:bodyDiv w:val="1"/>
      <w:marLeft w:val="0"/>
      <w:marRight w:val="0"/>
      <w:marTop w:val="0"/>
      <w:marBottom w:val="0"/>
      <w:divBdr>
        <w:top w:val="none" w:sz="0" w:space="0" w:color="auto"/>
        <w:left w:val="none" w:sz="0" w:space="0" w:color="auto"/>
        <w:bottom w:val="none" w:sz="0" w:space="0" w:color="auto"/>
        <w:right w:val="none" w:sz="0" w:space="0" w:color="auto"/>
      </w:divBdr>
    </w:div>
    <w:div w:id="1816754597">
      <w:bodyDiv w:val="1"/>
      <w:marLeft w:val="0"/>
      <w:marRight w:val="0"/>
      <w:marTop w:val="0"/>
      <w:marBottom w:val="0"/>
      <w:divBdr>
        <w:top w:val="none" w:sz="0" w:space="0" w:color="auto"/>
        <w:left w:val="none" w:sz="0" w:space="0" w:color="auto"/>
        <w:bottom w:val="none" w:sz="0" w:space="0" w:color="auto"/>
        <w:right w:val="none" w:sz="0" w:space="0" w:color="auto"/>
      </w:divBdr>
    </w:div>
    <w:div w:id="208444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intra.undp.org/coa/branding.shtml" TargetMode="External"/><Relationship Id="rId39" Type="http://schemas.openxmlformats.org/officeDocument/2006/relationships/customXml" Target="../customXml/item2.xml"/><Relationship Id="rId21" Type="http://schemas.openxmlformats.org/officeDocument/2006/relationships/header" Target="header2.xml"/><Relationship Id="rId34" Type="http://schemas.openxmlformats.org/officeDocument/2006/relationships/hyperlink" Target="http://www.thegef.org/gef/GEF_logo" TargetMode="Externa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yperlink" Target="http://erc.undp.org/index.aspx?module=Intra"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thegef.org/gef/GEF_logo" TargetMode="External"/><Relationship Id="rId32" Type="http://schemas.openxmlformats.org/officeDocument/2006/relationships/hyperlink" Target="http://intra.undp.org/branding/useOfLogo.html"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intra.undp.org/branding/useOfLogo.html" TargetMode="External"/><Relationship Id="rId28" Type="http://schemas.openxmlformats.org/officeDocument/2006/relationships/hyperlink" Target="http://www.thegef.org/gef/sites/thegef.org/files/documents/C.40.08_Branding_the_GEF%20final_0.pdf"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intra.undp.org/coa/%20branding.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intra.undp.org/coa/branding.shtml" TargetMode="External"/><Relationship Id="rId27" Type="http://schemas.openxmlformats.org/officeDocument/2006/relationships/hyperlink" Target="http://intra.undp.org/coa/branding.shtml" TargetMode="External"/><Relationship Id="rId30" Type="http://schemas.openxmlformats.org/officeDocument/2006/relationships/hyperlink" Target="http://erc.undp.org/index.aspx?module=Intra" TargetMode="External"/><Relationship Id="rId35" Type="http://schemas.openxmlformats.org/officeDocument/2006/relationships/hyperlink" Target="http://www.thegef.org/gef/sites/thegef.org/files/documents/C.40.08_Branding_the_%20GEF%20final_0.pdf" TargetMode="External"/><Relationship Id="rId43" Type="http://schemas.openxmlformats.org/officeDocument/2006/relationships/customXml" Target="../customXml/item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yperlink" Target="http://www.thegef.org/gef/GEF_logo" TargetMode="External"/><Relationship Id="rId33" Type="http://schemas.openxmlformats.org/officeDocument/2006/relationships/hyperlink" Target="http://www.thegef.org/gef/GEF_logo"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2014-10-28T17:00:00+00:00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Proposal</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1234</Value>
      <Value>1</Value>
      <Value>763</Value>
    </TaxCatchAll>
    <c4e2ab2cc9354bbf9064eeb465a566ea xmlns="1ed4137b-41b2-488b-8250-6d369ec27664">
      <Terms xmlns="http://schemas.microsoft.com/office/infopath/2007/PartnerControls"/>
    </c4e2ab2cc9354bbf9064eeb465a566ea>
    <UndpProjectNo xmlns="1ed4137b-41b2-488b-8250-6d369ec27664">00082951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_dlc_DocId xmlns="f1161f5b-24a3-4c2d-bc81-44cb9325e8ee">ATLASPDC-4-23091</_dlc_DocId>
    <_dlc_DocIdUrl xmlns="f1161f5b-24a3-4c2d-bc81-44cb9325e8ee">
      <Url>https://info.undp.org/docs/pdc/_layouts/DocIdRedir.aspx?ID=ATLASPDC-4-23091</Url>
      <Description>ATLASPDC-4-23091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6B012-2893-4BB1-A751-2B4BB50E1941}"/>
</file>

<file path=customXml/itemProps2.xml><?xml version="1.0" encoding="utf-8"?>
<ds:datastoreItem xmlns:ds="http://schemas.openxmlformats.org/officeDocument/2006/customXml" ds:itemID="{FF70F5EE-B8F4-47DD-BAB8-CC7831ED8672}"/>
</file>

<file path=customXml/itemProps3.xml><?xml version="1.0" encoding="utf-8"?>
<ds:datastoreItem xmlns:ds="http://schemas.openxmlformats.org/officeDocument/2006/customXml" ds:itemID="{0138ABCB-190A-4D3E-A218-C16BBA0AC447}"/>
</file>

<file path=customXml/itemProps4.xml><?xml version="1.0" encoding="utf-8"?>
<ds:datastoreItem xmlns:ds="http://schemas.openxmlformats.org/officeDocument/2006/customXml" ds:itemID="{09A09BD2-F119-48F5-86E8-8E2108EDC199}"/>
</file>

<file path=customXml/itemProps5.xml><?xml version="1.0" encoding="utf-8"?>
<ds:datastoreItem xmlns:ds="http://schemas.openxmlformats.org/officeDocument/2006/customXml" ds:itemID="{8E5610C8-E286-4B2D-8BDA-C85DEA81206D}"/>
</file>

<file path=customXml/itemProps6.xml><?xml version="1.0" encoding="utf-8"?>
<ds:datastoreItem xmlns:ds="http://schemas.openxmlformats.org/officeDocument/2006/customXml" ds:itemID="{E6087C6D-7DF8-46FE-9F12-27B43A490619}"/>
</file>

<file path=docProps/app.xml><?xml version="1.0" encoding="utf-8"?>
<Properties xmlns="http://schemas.openxmlformats.org/officeDocument/2006/extended-properties" xmlns:vt="http://schemas.openxmlformats.org/officeDocument/2006/docPropsVTypes">
  <Template>Normal.dotm</Template>
  <TotalTime>1</TotalTime>
  <Pages>98</Pages>
  <Words>44869</Words>
  <Characters>255758</Characters>
  <Application>Microsoft Office Word</Application>
  <DocSecurity>4</DocSecurity>
  <Lines>2131</Lines>
  <Paragraphs>600</Paragraphs>
  <ScaleCrop>false</ScaleCrop>
  <HeadingPairs>
    <vt:vector size="2" baseType="variant">
      <vt:variant>
        <vt:lpstr>Title</vt:lpstr>
      </vt:variant>
      <vt:variant>
        <vt:i4>1</vt:i4>
      </vt:variant>
    </vt:vector>
  </HeadingPairs>
  <TitlesOfParts>
    <vt:vector size="1" baseType="lpstr">
      <vt:lpstr/>
    </vt:vector>
  </TitlesOfParts>
  <Company>Computer Visioneers</Company>
  <LinksUpToDate>false</LinksUpToDate>
  <CharactersWithSpaces>300027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Unsigned ProDoc</dc:title>
  <dc:subject/>
  <dc:creator>Elton Charles</dc:creator>
  <cp:lastModifiedBy>CherryAnne Hinds</cp:lastModifiedBy>
  <cp:revision>2</cp:revision>
  <cp:lastPrinted>2014-05-30T03:41:00Z</cp:lastPrinted>
  <dcterms:created xsi:type="dcterms:W3CDTF">2014-10-28T17:33:00Z</dcterms:created>
  <dcterms:modified xsi:type="dcterms:W3CDTF">2014-10-28T17:33:00Z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7df23284-7233-42ff-8145-8e1732b92369</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1234;#GRD|c47122f9-ad02-47b9-94d9-9c14c24b48fe</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DocumentSetDescription">
    <vt:lpwstr/>
  </property>
  <property fmtid="{D5CDD505-2E9C-101B-9397-08002B2CF9AE}" pid="19" name="URL">
    <vt:lpwstr/>
  </property>
</Properties>
</file>